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2E" w:rsidRPr="000966B6" w:rsidRDefault="00AB002E" w:rsidP="0026059C">
      <w:pPr>
        <w:jc w:val="right"/>
        <w:rPr>
          <w:rFonts w:ascii="Franklin Gothic Heavy" w:hAnsi="Franklin Gothic Heavy"/>
          <w:color w:val="736454"/>
          <w:sz w:val="32"/>
        </w:rPr>
      </w:pPr>
      <w:bookmarkStart w:id="0" w:name="_GoBack"/>
      <w:bookmarkEnd w:id="0"/>
      <w:r w:rsidRPr="00665266">
        <w:tab/>
      </w:r>
    </w:p>
    <w:p w:rsidR="0026059C" w:rsidRPr="0026059C" w:rsidRDefault="0026059C" w:rsidP="0026059C">
      <w:pPr>
        <w:jc w:val="left"/>
        <w:rPr>
          <w:rFonts w:ascii="Times New Roman" w:hAnsi="Times New Roman"/>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r w:rsidRPr="0026059C">
        <w:rPr>
          <w:rFonts w:ascii="Times New Roman" w:hAnsi="Times New Roman"/>
          <w:noProof/>
          <w:color w:val="17365D" w:themeColor="text2" w:themeShade="BF"/>
        </w:rPr>
        <w:drawing>
          <wp:anchor distT="0" distB="0" distL="114300" distR="114300" simplePos="0" relativeHeight="251659264" behindDoc="0" locked="0" layoutInCell="1" allowOverlap="1" wp14:anchorId="4039A20F" wp14:editId="7E0AE426">
            <wp:simplePos x="0" y="0"/>
            <wp:positionH relativeFrom="column">
              <wp:posOffset>-133350</wp:posOffset>
            </wp:positionH>
            <wp:positionV relativeFrom="paragraph">
              <wp:posOffset>257810</wp:posOffset>
            </wp:positionV>
            <wp:extent cx="1025525" cy="1343660"/>
            <wp:effectExtent l="0" t="0" r="3175" b="8890"/>
            <wp:wrapNone/>
            <wp:docPr id="9" name="Picture 14" descr="HSEM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4" descr="HSEM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525" cy="1343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26059C" w:rsidRPr="0026059C" w:rsidRDefault="0026059C" w:rsidP="0026059C">
      <w:pPr>
        <w:spacing w:line="560" w:lineRule="exact"/>
        <w:jc w:val="right"/>
        <w:rPr>
          <w:rFonts w:ascii="Franklin Gothic Heavy" w:hAnsi="Franklin Gothic Heavy"/>
          <w:color w:val="17365D" w:themeColor="text2" w:themeShade="BF"/>
          <w:spacing w:val="100"/>
          <w:sz w:val="60"/>
          <w:szCs w:val="60"/>
        </w:rPr>
      </w:pPr>
      <w:r w:rsidRPr="0026059C">
        <w:rPr>
          <w:rFonts w:ascii="Franklin Gothic Heavy" w:eastAsia="MS PGothic" w:hAnsi="Franklin Gothic Heavy"/>
          <w:color w:val="17365D" w:themeColor="text2" w:themeShade="BF"/>
          <w:spacing w:val="100"/>
          <w:sz w:val="60"/>
          <w:szCs w:val="60"/>
        </w:rPr>
        <w:t>HOMELAND SECURITY</w:t>
      </w:r>
    </w:p>
    <w:p w:rsidR="0026059C" w:rsidRPr="0026059C" w:rsidRDefault="0026059C" w:rsidP="0026059C">
      <w:pPr>
        <w:spacing w:line="560" w:lineRule="exact"/>
        <w:ind w:left="450"/>
        <w:jc w:val="left"/>
        <w:rPr>
          <w:rFonts w:ascii="Franklin Gothic Heavy" w:eastAsia="MS PGothic" w:hAnsi="Franklin Gothic Heavy"/>
          <w:color w:val="00004C"/>
          <w:sz w:val="16"/>
          <w:szCs w:val="16"/>
        </w:rPr>
      </w:pPr>
      <w:r>
        <w:rPr>
          <w:rFonts w:ascii="Franklin Gothic Heavy" w:eastAsia="MS PGothic" w:hAnsi="Franklin Gothic Heavy"/>
          <w:color w:val="17365D" w:themeColor="text2" w:themeShade="BF"/>
          <w:sz w:val="60"/>
          <w:szCs w:val="60"/>
        </w:rPr>
        <w:tab/>
      </w:r>
      <w:r>
        <w:rPr>
          <w:rFonts w:ascii="Franklin Gothic Heavy" w:eastAsia="MS PGothic" w:hAnsi="Franklin Gothic Heavy"/>
          <w:color w:val="17365D" w:themeColor="text2" w:themeShade="BF"/>
          <w:sz w:val="60"/>
          <w:szCs w:val="60"/>
        </w:rPr>
        <w:tab/>
        <w:t xml:space="preserve"> </w:t>
      </w:r>
      <w:r w:rsidRPr="0026059C">
        <w:rPr>
          <w:rFonts w:ascii="Franklin Gothic Heavy" w:eastAsia="MS PGothic" w:hAnsi="Franklin Gothic Heavy"/>
          <w:b/>
          <w:color w:val="17365D" w:themeColor="text2" w:themeShade="BF"/>
          <w:sz w:val="60"/>
          <w:szCs w:val="60"/>
        </w:rPr>
        <w:t>EMERGENCY</w:t>
      </w:r>
      <w:r w:rsidRPr="0026059C">
        <w:rPr>
          <w:rFonts w:ascii="Franklin Gothic Heavy" w:eastAsia="MS PGothic" w:hAnsi="Franklin Gothic Heavy"/>
          <w:color w:val="17365D" w:themeColor="text2" w:themeShade="BF"/>
          <w:sz w:val="60"/>
          <w:szCs w:val="60"/>
        </w:rPr>
        <w:t xml:space="preserve"> </w:t>
      </w:r>
      <w:r>
        <w:rPr>
          <w:rFonts w:ascii="Franklin Gothic Heavy" w:eastAsia="MS PGothic" w:hAnsi="Franklin Gothic Heavy"/>
          <w:color w:val="17365D" w:themeColor="text2" w:themeShade="BF"/>
          <w:sz w:val="60"/>
          <w:szCs w:val="60"/>
        </w:rPr>
        <w:t>M</w:t>
      </w:r>
      <w:r w:rsidRPr="0026059C">
        <w:rPr>
          <w:rFonts w:ascii="Franklin Gothic Heavy" w:eastAsia="MS PGothic" w:hAnsi="Franklin Gothic Heavy"/>
          <w:color w:val="17365D" w:themeColor="text2" w:themeShade="BF"/>
          <w:sz w:val="60"/>
          <w:szCs w:val="60"/>
        </w:rPr>
        <w:t>ANAGEMENT</w:t>
      </w:r>
    </w:p>
    <w:p w:rsidR="0026059C" w:rsidRPr="0026059C" w:rsidRDefault="0026059C" w:rsidP="0026059C">
      <w:pPr>
        <w:spacing w:line="560" w:lineRule="exact"/>
        <w:jc w:val="right"/>
        <w:rPr>
          <w:rFonts w:ascii="Franklin Gothic Heavy" w:hAnsi="Franklin Gothic Heavy"/>
          <w:color w:val="00004C"/>
          <w:sz w:val="60"/>
          <w:szCs w:val="60"/>
        </w:rPr>
      </w:pPr>
      <w:r w:rsidRPr="0026059C">
        <w:rPr>
          <w:rFonts w:ascii="Times New Roman" w:hAnsi="Times New Roman"/>
          <w:noProof/>
        </w:rPr>
        <mc:AlternateContent>
          <mc:Choice Requires="wps">
            <w:drawing>
              <wp:anchor distT="0" distB="0" distL="114300" distR="114300" simplePos="0" relativeHeight="251660288" behindDoc="0" locked="0" layoutInCell="1" allowOverlap="1" wp14:anchorId="06D35E88" wp14:editId="75DE484B">
                <wp:simplePos x="0" y="0"/>
                <wp:positionH relativeFrom="column">
                  <wp:posOffset>998220</wp:posOffset>
                </wp:positionH>
                <wp:positionV relativeFrom="paragraph">
                  <wp:posOffset>340360</wp:posOffset>
                </wp:positionV>
                <wp:extent cx="5120640" cy="321945"/>
                <wp:effectExtent l="0" t="0" r="0" b="1905"/>
                <wp:wrapNone/>
                <wp:docPr id="3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21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1538" w:rsidRDefault="00E71538" w:rsidP="0026059C">
                            <w:pPr>
                              <w:pStyle w:val="NormalWeb"/>
                              <w:spacing w:before="0" w:beforeAutospacing="0" w:after="0" w:afterAutospacing="0"/>
                              <w:textAlignment w:val="baseline"/>
                              <w:rPr>
                                <w:rFonts w:ascii="Franklin Gothic Heavy" w:eastAsia="MS PGothic" w:hAnsi="Franklin Gothic Heavy"/>
                                <w:color w:val="0B5B51"/>
                                <w:spacing w:val="14"/>
                                <w:kern w:val="24"/>
                                <w:sz w:val="32"/>
                                <w:szCs w:val="14"/>
                              </w:rPr>
                            </w:pPr>
                            <w:proofErr w:type="gramStart"/>
                            <w:r w:rsidRPr="00C61D52">
                              <w:rPr>
                                <w:rFonts w:ascii="Franklin Gothic Heavy" w:eastAsia="MS PGothic" w:hAnsi="Franklin Gothic Heavy"/>
                                <w:color w:val="0B5B51"/>
                                <w:spacing w:val="14"/>
                                <w:kern w:val="24"/>
                                <w:sz w:val="32"/>
                                <w:szCs w:val="14"/>
                              </w:rPr>
                              <w:t xml:space="preserve">ENSURING </w:t>
                            </w:r>
                            <w:r w:rsidRPr="008512BB">
                              <w:rPr>
                                <w:rFonts w:ascii="Franklin Gothic Heavy" w:eastAsia="MS PGothic" w:hAnsi="Franklin Gothic Heavy"/>
                                <w:color w:val="0B5B51"/>
                                <w:spacing w:val="14"/>
                                <w:kern w:val="24"/>
                                <w:sz w:val="32"/>
                                <w:szCs w:val="14"/>
                              </w:rPr>
                              <w:t>SAFETY</w:t>
                            </w:r>
                            <w:r w:rsidRPr="00C61D52">
                              <w:rPr>
                                <w:rFonts w:ascii="Franklin Gothic Heavy" w:eastAsia="MS PGothic" w:hAnsi="Franklin Gothic Heavy"/>
                                <w:color w:val="0B5B51"/>
                                <w:spacing w:val="14"/>
                                <w:kern w:val="24"/>
                                <w:sz w:val="32"/>
                                <w:szCs w:val="14"/>
                              </w:rPr>
                              <w:t>.</w:t>
                            </w:r>
                            <w:proofErr w:type="gramEnd"/>
                            <w:r w:rsidRPr="00C61D52">
                              <w:rPr>
                                <w:rFonts w:ascii="Franklin Gothic Heavy" w:eastAsia="MS PGothic" w:hAnsi="Franklin Gothic Heavy"/>
                                <w:color w:val="0B5B51"/>
                                <w:spacing w:val="14"/>
                                <w:kern w:val="24"/>
                                <w:sz w:val="32"/>
                                <w:szCs w:val="14"/>
                              </w:rPr>
                              <w:t xml:space="preserve"> </w:t>
                            </w:r>
                            <w:proofErr w:type="gramStart"/>
                            <w:r w:rsidRPr="00C61D52">
                              <w:rPr>
                                <w:rFonts w:ascii="Franklin Gothic Heavy" w:eastAsia="MS PGothic" w:hAnsi="Franklin Gothic Heavy"/>
                                <w:color w:val="0B5B51"/>
                                <w:spacing w:val="14"/>
                                <w:kern w:val="24"/>
                                <w:sz w:val="32"/>
                                <w:szCs w:val="14"/>
                              </w:rPr>
                              <w:t>PROTECTING COMMUNITIES.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6" o:spid="_x0000_s1026" type="#_x0000_t202" style="position:absolute;left:0;text-align:left;margin-left:78.6pt;margin-top:26.8pt;width:403.2pt;height:2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" filled="f" stroked="f">
                <v:textbox style="mso-fit-shape-to-text:t">
                  <w:txbxContent>
                    <w:p w:rsidR="00E71538" w:rsidRDefault="00E71538" w:rsidP="0026059C">
                      <w:pPr>
                        <w:pStyle w:val="NormalWeb"/>
                        <w:spacing w:before="0" w:beforeAutospacing="0" w:after="0" w:afterAutospacing="0"/>
                        <w:textAlignment w:val="baseline"/>
                        <w:rPr>
                          <w:rFonts w:ascii="Franklin Gothic Heavy" w:eastAsia="MS PGothic" w:hAnsi="Franklin Gothic Heavy"/>
                          <w:color w:val="0B5B51"/>
                          <w:spacing w:val="14"/>
                          <w:kern w:val="24"/>
                          <w:sz w:val="32"/>
                          <w:szCs w:val="14"/>
                        </w:rPr>
                      </w:pPr>
                      <w:proofErr w:type="gramStart"/>
                      <w:r w:rsidRPr="00C61D52">
                        <w:rPr>
                          <w:rFonts w:ascii="Franklin Gothic Heavy" w:eastAsia="MS PGothic" w:hAnsi="Franklin Gothic Heavy"/>
                          <w:color w:val="0B5B51"/>
                          <w:spacing w:val="14"/>
                          <w:kern w:val="24"/>
                          <w:sz w:val="32"/>
                          <w:szCs w:val="14"/>
                        </w:rPr>
                        <w:t xml:space="preserve">ENSURING </w:t>
                      </w:r>
                      <w:r w:rsidRPr="008512BB">
                        <w:rPr>
                          <w:rFonts w:ascii="Franklin Gothic Heavy" w:eastAsia="MS PGothic" w:hAnsi="Franklin Gothic Heavy"/>
                          <w:color w:val="0B5B51"/>
                          <w:spacing w:val="14"/>
                          <w:kern w:val="24"/>
                          <w:sz w:val="32"/>
                          <w:szCs w:val="14"/>
                        </w:rPr>
                        <w:t>SAFETY</w:t>
                      </w:r>
                      <w:r w:rsidRPr="00C61D52">
                        <w:rPr>
                          <w:rFonts w:ascii="Franklin Gothic Heavy" w:eastAsia="MS PGothic" w:hAnsi="Franklin Gothic Heavy"/>
                          <w:color w:val="0B5B51"/>
                          <w:spacing w:val="14"/>
                          <w:kern w:val="24"/>
                          <w:sz w:val="32"/>
                          <w:szCs w:val="14"/>
                        </w:rPr>
                        <w:t>.</w:t>
                      </w:r>
                      <w:proofErr w:type="gramEnd"/>
                      <w:r w:rsidRPr="00C61D52">
                        <w:rPr>
                          <w:rFonts w:ascii="Franklin Gothic Heavy" w:eastAsia="MS PGothic" w:hAnsi="Franklin Gothic Heavy"/>
                          <w:color w:val="0B5B51"/>
                          <w:spacing w:val="14"/>
                          <w:kern w:val="24"/>
                          <w:sz w:val="32"/>
                          <w:szCs w:val="14"/>
                        </w:rPr>
                        <w:t xml:space="preserve"> </w:t>
                      </w:r>
                      <w:proofErr w:type="gramStart"/>
                      <w:r w:rsidRPr="00C61D52">
                        <w:rPr>
                          <w:rFonts w:ascii="Franklin Gothic Heavy" w:eastAsia="MS PGothic" w:hAnsi="Franklin Gothic Heavy"/>
                          <w:color w:val="0B5B51"/>
                          <w:spacing w:val="14"/>
                          <w:kern w:val="24"/>
                          <w:sz w:val="32"/>
                          <w:szCs w:val="14"/>
                        </w:rPr>
                        <w:t>PROTECTING COMMUNITIES.</w:t>
                      </w:r>
                      <w:proofErr w:type="gramEnd"/>
                    </w:p>
                  </w:txbxContent>
                </v:textbox>
              </v:shape>
            </w:pict>
          </mc:Fallback>
        </mc:AlternateContent>
      </w:r>
      <w:r w:rsidRPr="0026059C">
        <w:rPr>
          <w:rFonts w:ascii="Franklin Gothic Heavy" w:hAnsi="Franklin Gothic Heavy"/>
          <w:noProof/>
          <w:color w:val="00004C"/>
          <w:sz w:val="16"/>
          <w:szCs w:val="16"/>
        </w:rPr>
        <w:drawing>
          <wp:inline distT="0" distB="0" distL="0" distR="0" wp14:anchorId="3E3C8317" wp14:editId="327DDA94">
            <wp:extent cx="6050280" cy="457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0280" cy="45719"/>
                    </a:xfrm>
                    <a:prstGeom prst="rect">
                      <a:avLst/>
                    </a:prstGeom>
                    <a:noFill/>
                  </pic:spPr>
                </pic:pic>
              </a:graphicData>
            </a:graphic>
          </wp:inline>
        </w:drawing>
      </w: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center"/>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4F5007" w:rsidRPr="004F5007" w:rsidRDefault="0026059C" w:rsidP="004F5007">
      <w:pPr>
        <w:jc w:val="right"/>
        <w:rPr>
          <w:rFonts w:ascii="Franklin Gothic Heavy" w:hAnsi="Franklin Gothic Heavy"/>
          <w:color w:val="17365D" w:themeColor="text2" w:themeShade="BF"/>
          <w:sz w:val="60"/>
          <w:szCs w:val="60"/>
        </w:rPr>
      </w:pPr>
      <w:r w:rsidRPr="0026059C">
        <w:rPr>
          <w:rFonts w:ascii="Times New Roman" w:hAnsi="Times New Roman"/>
        </w:rPr>
        <w:tab/>
      </w:r>
      <w:bookmarkStart w:id="1" w:name="_Toc480292236"/>
      <w:bookmarkStart w:id="2" w:name="_Toc480292351"/>
      <w:r w:rsidRPr="004F5007">
        <w:rPr>
          <w:rFonts w:ascii="Franklin Gothic Heavy" w:hAnsi="Franklin Gothic Heavy"/>
          <w:color w:val="17365D" w:themeColor="text2" w:themeShade="BF"/>
          <w:sz w:val="60"/>
          <w:szCs w:val="60"/>
        </w:rPr>
        <w:t>EMERGENCY</w:t>
      </w:r>
      <w:r w:rsidR="004F5007" w:rsidRPr="004F5007">
        <w:rPr>
          <w:rFonts w:ascii="Franklin Gothic Heavy" w:hAnsi="Franklin Gothic Heavy"/>
          <w:color w:val="17365D" w:themeColor="text2" w:themeShade="BF"/>
          <w:sz w:val="60"/>
          <w:szCs w:val="60"/>
        </w:rPr>
        <w:t xml:space="preserve"> </w:t>
      </w:r>
      <w:r w:rsidRPr="004F5007">
        <w:rPr>
          <w:rFonts w:ascii="Franklin Gothic Heavy" w:hAnsi="Franklin Gothic Heavy"/>
          <w:color w:val="17365D" w:themeColor="text2" w:themeShade="BF"/>
          <w:sz w:val="60"/>
          <w:szCs w:val="60"/>
        </w:rPr>
        <w:t>MANAGEMENT PERFORMANCE GRANT (EMPG)</w:t>
      </w:r>
      <w:bookmarkStart w:id="3" w:name="_Toc480292237"/>
      <w:bookmarkStart w:id="4" w:name="_Toc480292352"/>
      <w:bookmarkEnd w:id="1"/>
      <w:bookmarkEnd w:id="2"/>
    </w:p>
    <w:p w:rsidR="00893072" w:rsidRPr="004F5007" w:rsidRDefault="0026059C" w:rsidP="004F5007">
      <w:pPr>
        <w:jc w:val="right"/>
        <w:rPr>
          <w:rFonts w:ascii="Franklin Gothic Heavy" w:hAnsi="Franklin Gothic Heavy"/>
          <w:color w:val="736454"/>
          <w:sz w:val="32"/>
          <w:szCs w:val="32"/>
        </w:rPr>
      </w:pPr>
      <w:r w:rsidRPr="004F5007">
        <w:rPr>
          <w:rFonts w:ascii="Franklin Gothic Heavy" w:hAnsi="Franklin Gothic Heavy"/>
          <w:color w:val="736454"/>
          <w:sz w:val="32"/>
          <w:szCs w:val="32"/>
        </w:rPr>
        <w:t>CFDA #97.042</w:t>
      </w:r>
      <w:bookmarkEnd w:id="3"/>
      <w:bookmarkEnd w:id="4"/>
    </w:p>
    <w:p w:rsidR="00893072" w:rsidRPr="00665266" w:rsidRDefault="00893072" w:rsidP="00AB002E">
      <w:pPr>
        <w:jc w:val="right"/>
        <w:outlineLvl w:val="0"/>
        <w:rPr>
          <w:rFonts w:ascii="Franklin Gothic Heavy" w:hAnsi="Franklin Gothic Heavy"/>
          <w:color w:val="000000" w:themeColor="text1"/>
          <w:sz w:val="36"/>
          <w:szCs w:val="36"/>
        </w:rPr>
        <w:sectPr w:rsidR="00893072" w:rsidRPr="00665266" w:rsidSect="002D3C6D">
          <w:headerReference w:type="first" r:id="rId12"/>
          <w:footerReference w:type="first" r:id="rId13"/>
          <w:pgSz w:w="12240" w:h="15840" w:code="1"/>
          <w:pgMar w:top="1440" w:right="1440" w:bottom="1152" w:left="1440" w:header="720" w:footer="720" w:gutter="0"/>
          <w:pgBorders w:offsetFrom="page">
            <w:top w:val="single" w:sz="18" w:space="24" w:color="006666"/>
            <w:left w:val="single" w:sz="18" w:space="24" w:color="006666"/>
            <w:bottom w:val="single" w:sz="18" w:space="24" w:color="006666"/>
            <w:right w:val="single" w:sz="18" w:space="24" w:color="006666"/>
          </w:pgBorders>
          <w:pgNumType w:start="1"/>
          <w:cols w:space="720"/>
          <w:docGrid w:linePitch="360"/>
        </w:sectPr>
      </w:pPr>
    </w:p>
    <w:p w:rsidR="00BB0C50" w:rsidRPr="00665266" w:rsidRDefault="00BB0C50" w:rsidP="00BB0C50">
      <w:pPr>
        <w:shd w:val="clear" w:color="auto" w:fill="005A51"/>
        <w:spacing w:after="120"/>
        <w:rPr>
          <w:b/>
          <w:color w:val="FFFFFF" w:themeColor="background1"/>
          <w:sz w:val="28"/>
        </w:rPr>
      </w:pPr>
      <w:r w:rsidRPr="00665266">
        <w:rPr>
          <w:b/>
          <w:color w:val="FFFFFF" w:themeColor="background1"/>
          <w:sz w:val="28"/>
        </w:rPr>
        <w:lastRenderedPageBreak/>
        <w:t>Preface</w:t>
      </w:r>
    </w:p>
    <w:p w:rsidR="00BB0C50" w:rsidRPr="00665266" w:rsidRDefault="00BB0C50" w:rsidP="004F5007">
      <w:pPr>
        <w:pStyle w:val="TOC3"/>
        <w:ind w:left="0"/>
      </w:pPr>
      <w:r w:rsidRPr="00665266">
        <w:t xml:space="preserve">This guide serves as a reference for </w:t>
      </w:r>
      <w:r w:rsidR="00665266" w:rsidRPr="00665266">
        <w:t xml:space="preserve">New Hampshire (NH) </w:t>
      </w:r>
      <w:r w:rsidR="008249D7">
        <w:t xml:space="preserve">Homeland Security and Emergency Management (HSEM) </w:t>
      </w:r>
      <w:r w:rsidRPr="00665266">
        <w:t>Emergency Management Performance Grant (EMPG) Program applicants.</w:t>
      </w:r>
      <w:r w:rsidR="002956CA" w:rsidRPr="00665266">
        <w:t xml:space="preserve"> </w:t>
      </w:r>
      <w:r w:rsidRPr="00665266">
        <w:t>In addition to providing a program overview</w:t>
      </w:r>
      <w:r w:rsidR="00E026B5" w:rsidRPr="00665266">
        <w:t xml:space="preserve"> and informing new and current EMPG participants about the application process</w:t>
      </w:r>
      <w:r w:rsidRPr="00665266">
        <w:t>, this guide outlines specific compliance and task requirements for successful program participation.</w:t>
      </w:r>
      <w:r w:rsidR="002956CA" w:rsidRPr="00665266">
        <w:t xml:space="preserve"> </w:t>
      </w:r>
      <w:r w:rsidRPr="00665266">
        <w:t>This document also contains</w:t>
      </w:r>
      <w:r w:rsidR="00D234B0" w:rsidRPr="00665266">
        <w:t xml:space="preserve"> the State’s priorities</w:t>
      </w:r>
      <w:r w:rsidR="009D0C50">
        <w:t xml:space="preserve"> in funding under this program. </w:t>
      </w:r>
      <w:r w:rsidR="009D0C50">
        <w:rPr>
          <w:sz w:val="23"/>
          <w:szCs w:val="23"/>
        </w:rPr>
        <w:t xml:space="preserve">HSEM is pleased to respond to any questions not covered by this guide and welcome suggestions to improve the utility and content of the guide. Please contact the EMPG Program Coordinator at 603-271-2231 with any questions or suggested revisions. In addition, comments can be directed to HSEM via email at </w:t>
      </w:r>
      <w:hyperlink r:id="rId14" w:history="1">
        <w:r w:rsidR="009D0C50" w:rsidRPr="00F43C3C">
          <w:rPr>
            <w:rStyle w:val="Hyperlink"/>
            <w:sz w:val="23"/>
            <w:szCs w:val="23"/>
          </w:rPr>
          <w:t>nhempgprogram@dos.nh.gov</w:t>
        </w:r>
      </w:hyperlink>
      <w:r w:rsidR="009D0C50">
        <w:rPr>
          <w:sz w:val="23"/>
          <w:szCs w:val="23"/>
        </w:rPr>
        <w:t>.</w:t>
      </w:r>
    </w:p>
    <w:sdt>
      <w:sdtPr>
        <w:rPr>
          <w:rFonts w:eastAsia="Times New Roman" w:cs="Times New Roman"/>
          <w:b w:val="0"/>
          <w:bCs w:val="0"/>
          <w:color w:val="auto"/>
          <w:sz w:val="24"/>
          <w:szCs w:val="24"/>
          <w:lang w:eastAsia="en-US"/>
        </w:rPr>
        <w:id w:val="606386487"/>
        <w:docPartObj>
          <w:docPartGallery w:val="Table of Contents"/>
          <w:docPartUnique/>
        </w:docPartObj>
      </w:sdtPr>
      <w:sdtEndPr>
        <w:rPr>
          <w:noProof/>
        </w:rPr>
      </w:sdtEndPr>
      <w:sdtContent>
        <w:p w:rsidR="00A02029" w:rsidRPr="00665266" w:rsidRDefault="00A02029" w:rsidP="00152460">
          <w:pPr>
            <w:pStyle w:val="TOCHeading"/>
          </w:pPr>
          <w:r w:rsidRPr="00665266">
            <w:t>Table of Contents</w:t>
          </w:r>
        </w:p>
        <w:p w:rsidR="005916F4" w:rsidRDefault="00A02029">
          <w:pPr>
            <w:pStyle w:val="TOC1"/>
            <w:rPr>
              <w:rFonts w:eastAsiaTheme="minorEastAsia" w:cstheme="minorBidi"/>
              <w:b w:val="0"/>
              <w:color w:val="auto"/>
              <w:sz w:val="22"/>
              <w:szCs w:val="22"/>
            </w:rPr>
          </w:pPr>
          <w:r w:rsidRPr="00665266">
            <w:fldChar w:fldCharType="begin"/>
          </w:r>
          <w:r w:rsidRPr="00665266">
            <w:instrText xml:space="preserve"> TOC \o "1-3" \h \z \u </w:instrText>
          </w:r>
          <w:r w:rsidRPr="00665266">
            <w:fldChar w:fldCharType="separate"/>
          </w:r>
          <w:hyperlink w:anchor="_Toc480368171" w:history="1">
            <w:r w:rsidR="005916F4" w:rsidRPr="00327B1F">
              <w:rPr>
                <w:rStyle w:val="Hyperlink"/>
              </w:rPr>
              <w:t>Overview</w:t>
            </w:r>
            <w:r w:rsidR="005916F4">
              <w:rPr>
                <w:webHidden/>
              </w:rPr>
              <w:tab/>
            </w:r>
            <w:r w:rsidR="005916F4">
              <w:rPr>
                <w:webHidden/>
              </w:rPr>
              <w:fldChar w:fldCharType="begin"/>
            </w:r>
            <w:r w:rsidR="005916F4">
              <w:rPr>
                <w:webHidden/>
              </w:rPr>
              <w:instrText xml:space="preserve"> PAGEREF _Toc480368171 \h </w:instrText>
            </w:r>
            <w:r w:rsidR="005916F4">
              <w:rPr>
                <w:webHidden/>
              </w:rPr>
            </w:r>
            <w:r w:rsidR="005916F4">
              <w:rPr>
                <w:webHidden/>
              </w:rPr>
              <w:fldChar w:fldCharType="separate"/>
            </w:r>
            <w:r w:rsidR="005916F4">
              <w:rPr>
                <w:webHidden/>
              </w:rPr>
              <w:t>3</w:t>
            </w:r>
            <w:r w:rsidR="005916F4">
              <w:rPr>
                <w:webHidden/>
              </w:rPr>
              <w:fldChar w:fldCharType="end"/>
            </w:r>
          </w:hyperlink>
        </w:p>
        <w:p w:rsidR="005916F4" w:rsidRDefault="00DD0E47">
          <w:pPr>
            <w:pStyle w:val="TOC2"/>
            <w:rPr>
              <w:sz w:val="22"/>
              <w:lang w:eastAsia="en-US"/>
            </w:rPr>
          </w:pPr>
          <w:hyperlink w:anchor="_Toc480368172" w:history="1">
            <w:r w:rsidR="005916F4" w:rsidRPr="00327B1F">
              <w:rPr>
                <w:rStyle w:val="Hyperlink"/>
              </w:rPr>
              <w:t>Definitions</w:t>
            </w:r>
            <w:r w:rsidR="005916F4">
              <w:rPr>
                <w:webHidden/>
              </w:rPr>
              <w:tab/>
            </w:r>
            <w:r w:rsidR="005916F4">
              <w:rPr>
                <w:webHidden/>
              </w:rPr>
              <w:fldChar w:fldCharType="begin"/>
            </w:r>
            <w:r w:rsidR="005916F4">
              <w:rPr>
                <w:webHidden/>
              </w:rPr>
              <w:instrText xml:space="preserve"> PAGEREF _Toc480368172 \h </w:instrText>
            </w:r>
            <w:r w:rsidR="005916F4">
              <w:rPr>
                <w:webHidden/>
              </w:rPr>
            </w:r>
            <w:r w:rsidR="005916F4">
              <w:rPr>
                <w:webHidden/>
              </w:rPr>
              <w:fldChar w:fldCharType="separate"/>
            </w:r>
            <w:r w:rsidR="005916F4">
              <w:rPr>
                <w:webHidden/>
              </w:rPr>
              <w:t>3</w:t>
            </w:r>
            <w:r w:rsidR="005916F4">
              <w:rPr>
                <w:webHidden/>
              </w:rPr>
              <w:fldChar w:fldCharType="end"/>
            </w:r>
          </w:hyperlink>
        </w:p>
        <w:p w:rsidR="005916F4" w:rsidRDefault="00DD0E47">
          <w:pPr>
            <w:pStyle w:val="TOC2"/>
            <w:rPr>
              <w:sz w:val="22"/>
              <w:lang w:eastAsia="en-US"/>
            </w:rPr>
          </w:pPr>
          <w:hyperlink w:anchor="_Toc480368173" w:history="1">
            <w:r w:rsidR="005916F4" w:rsidRPr="00327B1F">
              <w:rPr>
                <w:rStyle w:val="Hyperlink"/>
              </w:rPr>
              <w:t>EMPG Application</w:t>
            </w:r>
            <w:r w:rsidR="005916F4">
              <w:rPr>
                <w:webHidden/>
              </w:rPr>
              <w:tab/>
            </w:r>
            <w:r w:rsidR="005916F4">
              <w:rPr>
                <w:webHidden/>
              </w:rPr>
              <w:fldChar w:fldCharType="begin"/>
            </w:r>
            <w:r w:rsidR="005916F4">
              <w:rPr>
                <w:webHidden/>
              </w:rPr>
              <w:instrText xml:space="preserve"> PAGEREF _Toc480368173 \h </w:instrText>
            </w:r>
            <w:r w:rsidR="005916F4">
              <w:rPr>
                <w:webHidden/>
              </w:rPr>
            </w:r>
            <w:r w:rsidR="005916F4">
              <w:rPr>
                <w:webHidden/>
              </w:rPr>
              <w:fldChar w:fldCharType="separate"/>
            </w:r>
            <w:r w:rsidR="005916F4">
              <w:rPr>
                <w:webHidden/>
              </w:rPr>
              <w:t>3</w:t>
            </w:r>
            <w:r w:rsidR="005916F4">
              <w:rPr>
                <w:webHidden/>
              </w:rPr>
              <w:fldChar w:fldCharType="end"/>
            </w:r>
          </w:hyperlink>
        </w:p>
        <w:p w:rsidR="005916F4" w:rsidRDefault="00DD0E47">
          <w:pPr>
            <w:pStyle w:val="TOC2"/>
            <w:rPr>
              <w:sz w:val="22"/>
              <w:lang w:eastAsia="en-US"/>
            </w:rPr>
          </w:pPr>
          <w:hyperlink w:anchor="_Toc480368174" w:history="1">
            <w:r w:rsidR="005916F4" w:rsidRPr="00327B1F">
              <w:rPr>
                <w:rStyle w:val="Hyperlink"/>
              </w:rPr>
              <w:t>Application Review</w:t>
            </w:r>
            <w:r w:rsidR="005916F4">
              <w:rPr>
                <w:webHidden/>
              </w:rPr>
              <w:tab/>
            </w:r>
            <w:r w:rsidR="005916F4">
              <w:rPr>
                <w:webHidden/>
              </w:rPr>
              <w:fldChar w:fldCharType="begin"/>
            </w:r>
            <w:r w:rsidR="005916F4">
              <w:rPr>
                <w:webHidden/>
              </w:rPr>
              <w:instrText xml:space="preserve"> PAGEREF _Toc480368174 \h </w:instrText>
            </w:r>
            <w:r w:rsidR="005916F4">
              <w:rPr>
                <w:webHidden/>
              </w:rPr>
            </w:r>
            <w:r w:rsidR="005916F4">
              <w:rPr>
                <w:webHidden/>
              </w:rPr>
              <w:fldChar w:fldCharType="separate"/>
            </w:r>
            <w:r w:rsidR="005916F4">
              <w:rPr>
                <w:webHidden/>
              </w:rPr>
              <w:t>3</w:t>
            </w:r>
            <w:r w:rsidR="005916F4">
              <w:rPr>
                <w:webHidden/>
              </w:rPr>
              <w:fldChar w:fldCharType="end"/>
            </w:r>
          </w:hyperlink>
        </w:p>
        <w:p w:rsidR="005916F4" w:rsidRDefault="00DD0E47">
          <w:pPr>
            <w:pStyle w:val="TOC2"/>
            <w:rPr>
              <w:sz w:val="22"/>
              <w:lang w:eastAsia="en-US"/>
            </w:rPr>
          </w:pPr>
          <w:hyperlink w:anchor="_Toc480368175" w:history="1">
            <w:r w:rsidR="005916F4" w:rsidRPr="00327B1F">
              <w:rPr>
                <w:rStyle w:val="Hyperlink"/>
              </w:rPr>
              <w:t>Grant Agreement</w:t>
            </w:r>
            <w:r w:rsidR="005916F4">
              <w:rPr>
                <w:webHidden/>
              </w:rPr>
              <w:tab/>
            </w:r>
            <w:r w:rsidR="005916F4">
              <w:rPr>
                <w:webHidden/>
              </w:rPr>
              <w:fldChar w:fldCharType="begin"/>
            </w:r>
            <w:r w:rsidR="005916F4">
              <w:rPr>
                <w:webHidden/>
              </w:rPr>
              <w:instrText xml:space="preserve"> PAGEREF _Toc480368175 \h </w:instrText>
            </w:r>
            <w:r w:rsidR="005916F4">
              <w:rPr>
                <w:webHidden/>
              </w:rPr>
            </w:r>
            <w:r w:rsidR="005916F4">
              <w:rPr>
                <w:webHidden/>
              </w:rPr>
              <w:fldChar w:fldCharType="separate"/>
            </w:r>
            <w:r w:rsidR="005916F4">
              <w:rPr>
                <w:webHidden/>
              </w:rPr>
              <w:t>4</w:t>
            </w:r>
            <w:r w:rsidR="005916F4">
              <w:rPr>
                <w:webHidden/>
              </w:rPr>
              <w:fldChar w:fldCharType="end"/>
            </w:r>
          </w:hyperlink>
        </w:p>
        <w:p w:rsidR="005916F4" w:rsidRDefault="00DD0E47">
          <w:pPr>
            <w:pStyle w:val="TOC2"/>
            <w:rPr>
              <w:sz w:val="22"/>
              <w:lang w:eastAsia="en-US"/>
            </w:rPr>
          </w:pPr>
          <w:hyperlink w:anchor="_Toc480368176" w:history="1">
            <w:r w:rsidR="005916F4" w:rsidRPr="00327B1F">
              <w:rPr>
                <w:rStyle w:val="Hyperlink"/>
              </w:rPr>
              <w:t>Period of Performance</w:t>
            </w:r>
            <w:r w:rsidR="005916F4">
              <w:rPr>
                <w:webHidden/>
              </w:rPr>
              <w:tab/>
            </w:r>
            <w:r w:rsidR="005916F4">
              <w:rPr>
                <w:webHidden/>
              </w:rPr>
              <w:fldChar w:fldCharType="begin"/>
            </w:r>
            <w:r w:rsidR="005916F4">
              <w:rPr>
                <w:webHidden/>
              </w:rPr>
              <w:instrText xml:space="preserve"> PAGEREF _Toc480368176 \h </w:instrText>
            </w:r>
            <w:r w:rsidR="005916F4">
              <w:rPr>
                <w:webHidden/>
              </w:rPr>
            </w:r>
            <w:r w:rsidR="005916F4">
              <w:rPr>
                <w:webHidden/>
              </w:rPr>
              <w:fldChar w:fldCharType="separate"/>
            </w:r>
            <w:r w:rsidR="005916F4">
              <w:rPr>
                <w:webHidden/>
              </w:rPr>
              <w:t>4</w:t>
            </w:r>
            <w:r w:rsidR="005916F4">
              <w:rPr>
                <w:webHidden/>
              </w:rPr>
              <w:fldChar w:fldCharType="end"/>
            </w:r>
          </w:hyperlink>
        </w:p>
        <w:p w:rsidR="005916F4" w:rsidRDefault="00DD0E47">
          <w:pPr>
            <w:pStyle w:val="TOC2"/>
            <w:rPr>
              <w:sz w:val="22"/>
              <w:lang w:eastAsia="en-US"/>
            </w:rPr>
          </w:pPr>
          <w:hyperlink w:anchor="_Toc480368177" w:history="1">
            <w:r w:rsidR="005916F4" w:rsidRPr="00327B1F">
              <w:rPr>
                <w:rStyle w:val="Hyperlink"/>
              </w:rPr>
              <w:t>Monitoring</w:t>
            </w:r>
            <w:r w:rsidR="005916F4">
              <w:rPr>
                <w:webHidden/>
              </w:rPr>
              <w:tab/>
            </w:r>
            <w:r w:rsidR="005916F4">
              <w:rPr>
                <w:webHidden/>
              </w:rPr>
              <w:fldChar w:fldCharType="begin"/>
            </w:r>
            <w:r w:rsidR="005916F4">
              <w:rPr>
                <w:webHidden/>
              </w:rPr>
              <w:instrText xml:space="preserve"> PAGEREF _Toc480368177 \h </w:instrText>
            </w:r>
            <w:r w:rsidR="005916F4">
              <w:rPr>
                <w:webHidden/>
              </w:rPr>
            </w:r>
            <w:r w:rsidR="005916F4">
              <w:rPr>
                <w:webHidden/>
              </w:rPr>
              <w:fldChar w:fldCharType="separate"/>
            </w:r>
            <w:r w:rsidR="005916F4">
              <w:rPr>
                <w:webHidden/>
              </w:rPr>
              <w:t>4</w:t>
            </w:r>
            <w:r w:rsidR="005916F4">
              <w:rPr>
                <w:webHidden/>
              </w:rPr>
              <w:fldChar w:fldCharType="end"/>
            </w:r>
          </w:hyperlink>
        </w:p>
        <w:p w:rsidR="005916F4" w:rsidRDefault="00DD0E47">
          <w:pPr>
            <w:pStyle w:val="TOC2"/>
            <w:rPr>
              <w:sz w:val="22"/>
              <w:lang w:eastAsia="en-US"/>
            </w:rPr>
          </w:pPr>
          <w:hyperlink w:anchor="_Toc480368178" w:history="1">
            <w:r w:rsidR="005916F4" w:rsidRPr="00327B1F">
              <w:rPr>
                <w:rStyle w:val="Hyperlink"/>
              </w:rPr>
              <w:t>Contact Information</w:t>
            </w:r>
            <w:r w:rsidR="005916F4">
              <w:rPr>
                <w:webHidden/>
              </w:rPr>
              <w:tab/>
            </w:r>
            <w:r w:rsidR="005916F4">
              <w:rPr>
                <w:webHidden/>
              </w:rPr>
              <w:fldChar w:fldCharType="begin"/>
            </w:r>
            <w:r w:rsidR="005916F4">
              <w:rPr>
                <w:webHidden/>
              </w:rPr>
              <w:instrText xml:space="preserve"> PAGEREF _Toc480368178 \h </w:instrText>
            </w:r>
            <w:r w:rsidR="005916F4">
              <w:rPr>
                <w:webHidden/>
              </w:rPr>
            </w:r>
            <w:r w:rsidR="005916F4">
              <w:rPr>
                <w:webHidden/>
              </w:rPr>
              <w:fldChar w:fldCharType="separate"/>
            </w:r>
            <w:r w:rsidR="005916F4">
              <w:rPr>
                <w:webHidden/>
              </w:rPr>
              <w:t>5</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179" w:history="1">
            <w:r w:rsidR="005916F4" w:rsidRPr="00327B1F">
              <w:rPr>
                <w:rStyle w:val="Hyperlink"/>
              </w:rPr>
              <w:t>Grant Compliance &amp; Certification Requirements</w:t>
            </w:r>
            <w:r w:rsidR="005916F4">
              <w:rPr>
                <w:webHidden/>
              </w:rPr>
              <w:tab/>
            </w:r>
            <w:r w:rsidR="005916F4">
              <w:rPr>
                <w:webHidden/>
              </w:rPr>
              <w:fldChar w:fldCharType="begin"/>
            </w:r>
            <w:r w:rsidR="005916F4">
              <w:rPr>
                <w:webHidden/>
              </w:rPr>
              <w:instrText xml:space="preserve"> PAGEREF _Toc480368179 \h </w:instrText>
            </w:r>
            <w:r w:rsidR="005916F4">
              <w:rPr>
                <w:webHidden/>
              </w:rPr>
            </w:r>
            <w:r w:rsidR="005916F4">
              <w:rPr>
                <w:webHidden/>
              </w:rPr>
              <w:fldChar w:fldCharType="separate"/>
            </w:r>
            <w:r w:rsidR="005916F4">
              <w:rPr>
                <w:webHidden/>
              </w:rPr>
              <w:t>6</w:t>
            </w:r>
            <w:r w:rsidR="005916F4">
              <w:rPr>
                <w:webHidden/>
              </w:rPr>
              <w:fldChar w:fldCharType="end"/>
            </w:r>
          </w:hyperlink>
        </w:p>
        <w:p w:rsidR="005916F4" w:rsidRDefault="00DD0E47">
          <w:pPr>
            <w:pStyle w:val="TOC2"/>
            <w:rPr>
              <w:sz w:val="22"/>
              <w:lang w:eastAsia="en-US"/>
            </w:rPr>
          </w:pPr>
          <w:hyperlink w:anchor="_Toc480368180" w:history="1">
            <w:r w:rsidR="005916F4" w:rsidRPr="00327B1F">
              <w:rPr>
                <w:rStyle w:val="Hyperlink"/>
              </w:rPr>
              <w:t>2 C.F.R. Part 200 (the “Super Circular”)</w:t>
            </w:r>
            <w:r w:rsidR="005916F4">
              <w:rPr>
                <w:webHidden/>
              </w:rPr>
              <w:tab/>
            </w:r>
            <w:r w:rsidR="005916F4">
              <w:rPr>
                <w:webHidden/>
              </w:rPr>
              <w:fldChar w:fldCharType="begin"/>
            </w:r>
            <w:r w:rsidR="005916F4">
              <w:rPr>
                <w:webHidden/>
              </w:rPr>
              <w:instrText xml:space="preserve"> PAGEREF _Toc480368180 \h </w:instrText>
            </w:r>
            <w:r w:rsidR="005916F4">
              <w:rPr>
                <w:webHidden/>
              </w:rPr>
            </w:r>
            <w:r w:rsidR="005916F4">
              <w:rPr>
                <w:webHidden/>
              </w:rPr>
              <w:fldChar w:fldCharType="separate"/>
            </w:r>
            <w:r w:rsidR="005916F4">
              <w:rPr>
                <w:webHidden/>
              </w:rPr>
              <w:t>6</w:t>
            </w:r>
            <w:r w:rsidR="005916F4">
              <w:rPr>
                <w:webHidden/>
              </w:rPr>
              <w:fldChar w:fldCharType="end"/>
            </w:r>
          </w:hyperlink>
        </w:p>
        <w:p w:rsidR="005916F4" w:rsidRDefault="00DD0E47">
          <w:pPr>
            <w:pStyle w:val="TOC2"/>
            <w:rPr>
              <w:sz w:val="22"/>
              <w:lang w:eastAsia="en-US"/>
            </w:rPr>
          </w:pPr>
          <w:hyperlink w:anchor="_Toc480368181" w:history="1">
            <w:r w:rsidR="005916F4" w:rsidRPr="00327B1F">
              <w:rPr>
                <w:rStyle w:val="Hyperlink"/>
              </w:rPr>
              <w:t>Audit Submittals</w:t>
            </w:r>
            <w:r w:rsidR="005916F4">
              <w:rPr>
                <w:webHidden/>
              </w:rPr>
              <w:tab/>
            </w:r>
            <w:r w:rsidR="005916F4">
              <w:rPr>
                <w:webHidden/>
              </w:rPr>
              <w:fldChar w:fldCharType="begin"/>
            </w:r>
            <w:r w:rsidR="005916F4">
              <w:rPr>
                <w:webHidden/>
              </w:rPr>
              <w:instrText xml:space="preserve"> PAGEREF _Toc480368181 \h </w:instrText>
            </w:r>
            <w:r w:rsidR="005916F4">
              <w:rPr>
                <w:webHidden/>
              </w:rPr>
            </w:r>
            <w:r w:rsidR="005916F4">
              <w:rPr>
                <w:webHidden/>
              </w:rPr>
              <w:fldChar w:fldCharType="separate"/>
            </w:r>
            <w:r w:rsidR="005916F4">
              <w:rPr>
                <w:webHidden/>
              </w:rPr>
              <w:t>6</w:t>
            </w:r>
            <w:r w:rsidR="005916F4">
              <w:rPr>
                <w:webHidden/>
              </w:rPr>
              <w:fldChar w:fldCharType="end"/>
            </w:r>
          </w:hyperlink>
        </w:p>
        <w:p w:rsidR="005916F4" w:rsidRDefault="00DD0E47">
          <w:pPr>
            <w:pStyle w:val="TOC2"/>
            <w:rPr>
              <w:sz w:val="22"/>
              <w:lang w:eastAsia="en-US"/>
            </w:rPr>
          </w:pPr>
          <w:hyperlink w:anchor="_Toc480368182" w:history="1">
            <w:r w:rsidR="005916F4" w:rsidRPr="00327B1F">
              <w:rPr>
                <w:rStyle w:val="Hyperlink"/>
              </w:rPr>
              <w:t>Authorized Equipment List</w:t>
            </w:r>
            <w:r w:rsidR="005916F4">
              <w:rPr>
                <w:webHidden/>
              </w:rPr>
              <w:tab/>
            </w:r>
            <w:r w:rsidR="005916F4">
              <w:rPr>
                <w:webHidden/>
              </w:rPr>
              <w:fldChar w:fldCharType="begin"/>
            </w:r>
            <w:r w:rsidR="005916F4">
              <w:rPr>
                <w:webHidden/>
              </w:rPr>
              <w:instrText xml:space="preserve"> PAGEREF _Toc480368182 \h </w:instrText>
            </w:r>
            <w:r w:rsidR="005916F4">
              <w:rPr>
                <w:webHidden/>
              </w:rPr>
            </w:r>
            <w:r w:rsidR="005916F4">
              <w:rPr>
                <w:webHidden/>
              </w:rPr>
              <w:fldChar w:fldCharType="separate"/>
            </w:r>
            <w:r w:rsidR="005916F4">
              <w:rPr>
                <w:webHidden/>
              </w:rPr>
              <w:t>6</w:t>
            </w:r>
            <w:r w:rsidR="005916F4">
              <w:rPr>
                <w:webHidden/>
              </w:rPr>
              <w:fldChar w:fldCharType="end"/>
            </w:r>
          </w:hyperlink>
        </w:p>
        <w:p w:rsidR="005916F4" w:rsidRDefault="00DD0E47">
          <w:pPr>
            <w:pStyle w:val="TOC2"/>
            <w:rPr>
              <w:sz w:val="22"/>
              <w:lang w:eastAsia="en-US"/>
            </w:rPr>
          </w:pPr>
          <w:hyperlink w:anchor="_Toc480368183" w:history="1">
            <w:r w:rsidR="005916F4" w:rsidRPr="00327B1F">
              <w:rPr>
                <w:rStyle w:val="Hyperlink"/>
              </w:rPr>
              <w:t>Certifications  Regarding Lobbying; Debarment, Suspension and Other Responsibility Matters; and Drug-Free Workplace Requirements</w:t>
            </w:r>
            <w:r w:rsidR="005916F4">
              <w:rPr>
                <w:webHidden/>
              </w:rPr>
              <w:tab/>
            </w:r>
            <w:r w:rsidR="005916F4">
              <w:rPr>
                <w:webHidden/>
              </w:rPr>
              <w:fldChar w:fldCharType="begin"/>
            </w:r>
            <w:r w:rsidR="005916F4">
              <w:rPr>
                <w:webHidden/>
              </w:rPr>
              <w:instrText xml:space="preserve"> PAGEREF _Toc480368183 \h </w:instrText>
            </w:r>
            <w:r w:rsidR="005916F4">
              <w:rPr>
                <w:webHidden/>
              </w:rPr>
            </w:r>
            <w:r w:rsidR="005916F4">
              <w:rPr>
                <w:webHidden/>
              </w:rPr>
              <w:fldChar w:fldCharType="separate"/>
            </w:r>
            <w:r w:rsidR="005916F4">
              <w:rPr>
                <w:webHidden/>
              </w:rPr>
              <w:t>7</w:t>
            </w:r>
            <w:r w:rsidR="005916F4">
              <w:rPr>
                <w:webHidden/>
              </w:rPr>
              <w:fldChar w:fldCharType="end"/>
            </w:r>
          </w:hyperlink>
        </w:p>
        <w:p w:rsidR="005916F4" w:rsidRDefault="00DD0E47">
          <w:pPr>
            <w:pStyle w:val="TOC2"/>
            <w:rPr>
              <w:sz w:val="22"/>
              <w:lang w:eastAsia="en-US"/>
            </w:rPr>
          </w:pPr>
          <w:hyperlink w:anchor="_Toc480368184" w:history="1">
            <w:r w:rsidR="005916F4" w:rsidRPr="00327B1F">
              <w:rPr>
                <w:rStyle w:val="Hyperlink"/>
              </w:rPr>
              <w:t>Commingling</w:t>
            </w:r>
            <w:r w:rsidR="005916F4">
              <w:rPr>
                <w:webHidden/>
              </w:rPr>
              <w:tab/>
            </w:r>
            <w:r w:rsidR="005916F4">
              <w:rPr>
                <w:webHidden/>
              </w:rPr>
              <w:fldChar w:fldCharType="begin"/>
            </w:r>
            <w:r w:rsidR="005916F4">
              <w:rPr>
                <w:webHidden/>
              </w:rPr>
              <w:instrText xml:space="preserve"> PAGEREF _Toc480368184 \h </w:instrText>
            </w:r>
            <w:r w:rsidR="005916F4">
              <w:rPr>
                <w:webHidden/>
              </w:rPr>
            </w:r>
            <w:r w:rsidR="005916F4">
              <w:rPr>
                <w:webHidden/>
              </w:rPr>
              <w:fldChar w:fldCharType="separate"/>
            </w:r>
            <w:r w:rsidR="005916F4">
              <w:rPr>
                <w:webHidden/>
              </w:rPr>
              <w:t>7</w:t>
            </w:r>
            <w:r w:rsidR="005916F4">
              <w:rPr>
                <w:webHidden/>
              </w:rPr>
              <w:fldChar w:fldCharType="end"/>
            </w:r>
          </w:hyperlink>
        </w:p>
        <w:p w:rsidR="005916F4" w:rsidRDefault="00DD0E47">
          <w:pPr>
            <w:pStyle w:val="TOC2"/>
            <w:rPr>
              <w:sz w:val="22"/>
              <w:lang w:eastAsia="en-US"/>
            </w:rPr>
          </w:pPr>
          <w:hyperlink w:anchor="_Toc480368185" w:history="1">
            <w:r w:rsidR="005916F4" w:rsidRPr="00327B1F">
              <w:rPr>
                <w:rStyle w:val="Hyperlink"/>
              </w:rPr>
              <w:t>Davis-Bacon Act Compliance</w:t>
            </w:r>
            <w:r w:rsidR="005916F4">
              <w:rPr>
                <w:webHidden/>
              </w:rPr>
              <w:tab/>
            </w:r>
            <w:r w:rsidR="005916F4">
              <w:rPr>
                <w:webHidden/>
              </w:rPr>
              <w:fldChar w:fldCharType="begin"/>
            </w:r>
            <w:r w:rsidR="005916F4">
              <w:rPr>
                <w:webHidden/>
              </w:rPr>
              <w:instrText xml:space="preserve"> PAGEREF _Toc480368185 \h </w:instrText>
            </w:r>
            <w:r w:rsidR="005916F4">
              <w:rPr>
                <w:webHidden/>
              </w:rPr>
            </w:r>
            <w:r w:rsidR="005916F4">
              <w:rPr>
                <w:webHidden/>
              </w:rPr>
              <w:fldChar w:fldCharType="separate"/>
            </w:r>
            <w:r w:rsidR="005916F4">
              <w:rPr>
                <w:webHidden/>
              </w:rPr>
              <w:t>7</w:t>
            </w:r>
            <w:r w:rsidR="005916F4">
              <w:rPr>
                <w:webHidden/>
              </w:rPr>
              <w:fldChar w:fldCharType="end"/>
            </w:r>
          </w:hyperlink>
        </w:p>
        <w:p w:rsidR="005916F4" w:rsidRDefault="00DD0E47">
          <w:pPr>
            <w:pStyle w:val="TOC2"/>
            <w:rPr>
              <w:sz w:val="22"/>
              <w:lang w:eastAsia="en-US"/>
            </w:rPr>
          </w:pPr>
          <w:hyperlink w:anchor="_Toc480368186" w:history="1">
            <w:r w:rsidR="005916F4" w:rsidRPr="00327B1F">
              <w:rPr>
                <w:rStyle w:val="Hyperlink"/>
              </w:rPr>
              <w:t>Data Universal Numbering System</w:t>
            </w:r>
            <w:r w:rsidR="005916F4">
              <w:rPr>
                <w:webHidden/>
              </w:rPr>
              <w:tab/>
            </w:r>
            <w:r w:rsidR="005916F4">
              <w:rPr>
                <w:webHidden/>
              </w:rPr>
              <w:fldChar w:fldCharType="begin"/>
            </w:r>
            <w:r w:rsidR="005916F4">
              <w:rPr>
                <w:webHidden/>
              </w:rPr>
              <w:instrText xml:space="preserve"> PAGEREF _Toc480368186 \h </w:instrText>
            </w:r>
            <w:r w:rsidR="005916F4">
              <w:rPr>
                <w:webHidden/>
              </w:rPr>
            </w:r>
            <w:r w:rsidR="005916F4">
              <w:rPr>
                <w:webHidden/>
              </w:rPr>
              <w:fldChar w:fldCharType="separate"/>
            </w:r>
            <w:r w:rsidR="005916F4">
              <w:rPr>
                <w:webHidden/>
              </w:rPr>
              <w:t>7</w:t>
            </w:r>
            <w:r w:rsidR="005916F4">
              <w:rPr>
                <w:webHidden/>
              </w:rPr>
              <w:fldChar w:fldCharType="end"/>
            </w:r>
          </w:hyperlink>
        </w:p>
        <w:p w:rsidR="005916F4" w:rsidRDefault="00DD0E47">
          <w:pPr>
            <w:pStyle w:val="TOC2"/>
            <w:rPr>
              <w:sz w:val="22"/>
              <w:lang w:eastAsia="en-US"/>
            </w:rPr>
          </w:pPr>
          <w:hyperlink w:anchor="_Toc480368187" w:history="1">
            <w:r w:rsidR="005916F4" w:rsidRPr="00327B1F">
              <w:rPr>
                <w:rStyle w:val="Hyperlink"/>
              </w:rPr>
              <w:t>Environmental Planning and Historic Preservation (EHP) Compliance</w:t>
            </w:r>
            <w:r w:rsidR="005916F4">
              <w:rPr>
                <w:webHidden/>
              </w:rPr>
              <w:tab/>
            </w:r>
            <w:r w:rsidR="005916F4">
              <w:rPr>
                <w:webHidden/>
              </w:rPr>
              <w:fldChar w:fldCharType="begin"/>
            </w:r>
            <w:r w:rsidR="005916F4">
              <w:rPr>
                <w:webHidden/>
              </w:rPr>
              <w:instrText xml:space="preserve"> PAGEREF _Toc480368187 \h </w:instrText>
            </w:r>
            <w:r w:rsidR="005916F4">
              <w:rPr>
                <w:webHidden/>
              </w:rPr>
            </w:r>
            <w:r w:rsidR="005916F4">
              <w:rPr>
                <w:webHidden/>
              </w:rPr>
              <w:fldChar w:fldCharType="separate"/>
            </w:r>
            <w:r w:rsidR="005916F4">
              <w:rPr>
                <w:webHidden/>
              </w:rPr>
              <w:t>8</w:t>
            </w:r>
            <w:r w:rsidR="005916F4">
              <w:rPr>
                <w:webHidden/>
              </w:rPr>
              <w:fldChar w:fldCharType="end"/>
            </w:r>
          </w:hyperlink>
        </w:p>
        <w:p w:rsidR="005916F4" w:rsidRDefault="00DD0E47">
          <w:pPr>
            <w:pStyle w:val="TOC2"/>
            <w:rPr>
              <w:sz w:val="22"/>
              <w:lang w:eastAsia="en-US"/>
            </w:rPr>
          </w:pPr>
          <w:hyperlink w:anchor="_Toc480368188" w:history="1">
            <w:r w:rsidR="005916F4" w:rsidRPr="00327B1F">
              <w:rPr>
                <w:rStyle w:val="Hyperlink"/>
              </w:rPr>
              <w:t>Excluded Parties List System</w:t>
            </w:r>
            <w:r w:rsidR="005916F4">
              <w:rPr>
                <w:webHidden/>
              </w:rPr>
              <w:tab/>
            </w:r>
            <w:r w:rsidR="005916F4">
              <w:rPr>
                <w:webHidden/>
              </w:rPr>
              <w:fldChar w:fldCharType="begin"/>
            </w:r>
            <w:r w:rsidR="005916F4">
              <w:rPr>
                <w:webHidden/>
              </w:rPr>
              <w:instrText xml:space="preserve"> PAGEREF _Toc480368188 \h </w:instrText>
            </w:r>
            <w:r w:rsidR="005916F4">
              <w:rPr>
                <w:webHidden/>
              </w:rPr>
            </w:r>
            <w:r w:rsidR="005916F4">
              <w:rPr>
                <w:webHidden/>
              </w:rPr>
              <w:fldChar w:fldCharType="separate"/>
            </w:r>
            <w:r w:rsidR="005916F4">
              <w:rPr>
                <w:webHidden/>
              </w:rPr>
              <w:t>8</w:t>
            </w:r>
            <w:r w:rsidR="005916F4">
              <w:rPr>
                <w:webHidden/>
              </w:rPr>
              <w:fldChar w:fldCharType="end"/>
            </w:r>
          </w:hyperlink>
        </w:p>
        <w:p w:rsidR="005916F4" w:rsidRDefault="00DD0E47">
          <w:pPr>
            <w:pStyle w:val="TOC2"/>
            <w:rPr>
              <w:sz w:val="22"/>
              <w:lang w:eastAsia="en-US"/>
            </w:rPr>
          </w:pPr>
          <w:hyperlink w:anchor="_Toc480368189" w:history="1">
            <w:r w:rsidR="005916F4" w:rsidRPr="00327B1F">
              <w:rPr>
                <w:rStyle w:val="Hyperlink"/>
              </w:rPr>
              <w:t>Extension Requests</w:t>
            </w:r>
            <w:r w:rsidR="005916F4">
              <w:rPr>
                <w:webHidden/>
              </w:rPr>
              <w:tab/>
            </w:r>
            <w:r w:rsidR="005916F4">
              <w:rPr>
                <w:webHidden/>
              </w:rPr>
              <w:fldChar w:fldCharType="begin"/>
            </w:r>
            <w:r w:rsidR="005916F4">
              <w:rPr>
                <w:webHidden/>
              </w:rPr>
              <w:instrText xml:space="preserve"> PAGEREF _Toc480368189 \h </w:instrText>
            </w:r>
            <w:r w:rsidR="005916F4">
              <w:rPr>
                <w:webHidden/>
              </w:rPr>
            </w:r>
            <w:r w:rsidR="005916F4">
              <w:rPr>
                <w:webHidden/>
              </w:rPr>
              <w:fldChar w:fldCharType="separate"/>
            </w:r>
            <w:r w:rsidR="005916F4">
              <w:rPr>
                <w:webHidden/>
              </w:rPr>
              <w:t>8</w:t>
            </w:r>
            <w:r w:rsidR="005916F4">
              <w:rPr>
                <w:webHidden/>
              </w:rPr>
              <w:fldChar w:fldCharType="end"/>
            </w:r>
          </w:hyperlink>
        </w:p>
        <w:p w:rsidR="005916F4" w:rsidRDefault="00DD0E47">
          <w:pPr>
            <w:pStyle w:val="TOC2"/>
            <w:rPr>
              <w:sz w:val="22"/>
              <w:lang w:eastAsia="en-US"/>
            </w:rPr>
          </w:pPr>
          <w:hyperlink w:anchor="_Toc480368190" w:history="1">
            <w:r w:rsidR="005916F4" w:rsidRPr="00327B1F">
              <w:rPr>
                <w:rStyle w:val="Hyperlink"/>
              </w:rPr>
              <w:t>Matching Funds</w:t>
            </w:r>
            <w:r w:rsidR="005916F4">
              <w:rPr>
                <w:webHidden/>
              </w:rPr>
              <w:tab/>
            </w:r>
            <w:r w:rsidR="005916F4">
              <w:rPr>
                <w:webHidden/>
              </w:rPr>
              <w:fldChar w:fldCharType="begin"/>
            </w:r>
            <w:r w:rsidR="005916F4">
              <w:rPr>
                <w:webHidden/>
              </w:rPr>
              <w:instrText xml:space="preserve"> PAGEREF _Toc480368190 \h </w:instrText>
            </w:r>
            <w:r w:rsidR="005916F4">
              <w:rPr>
                <w:webHidden/>
              </w:rPr>
            </w:r>
            <w:r w:rsidR="005916F4">
              <w:rPr>
                <w:webHidden/>
              </w:rPr>
              <w:fldChar w:fldCharType="separate"/>
            </w:r>
            <w:r w:rsidR="005916F4">
              <w:rPr>
                <w:webHidden/>
              </w:rPr>
              <w:t>9</w:t>
            </w:r>
            <w:r w:rsidR="005916F4">
              <w:rPr>
                <w:webHidden/>
              </w:rPr>
              <w:fldChar w:fldCharType="end"/>
            </w:r>
          </w:hyperlink>
        </w:p>
        <w:p w:rsidR="005916F4" w:rsidRDefault="00DD0E47">
          <w:pPr>
            <w:pStyle w:val="TOC2"/>
            <w:rPr>
              <w:sz w:val="22"/>
              <w:lang w:eastAsia="en-US"/>
            </w:rPr>
          </w:pPr>
          <w:hyperlink w:anchor="_Toc480368191" w:history="1">
            <w:r w:rsidR="005916F4" w:rsidRPr="00327B1F">
              <w:rPr>
                <w:rStyle w:val="Hyperlink"/>
              </w:rPr>
              <w:t>National Incident Management System (NIMS) Compliance</w:t>
            </w:r>
            <w:r w:rsidR="005916F4">
              <w:rPr>
                <w:webHidden/>
              </w:rPr>
              <w:tab/>
            </w:r>
            <w:r w:rsidR="005916F4">
              <w:rPr>
                <w:webHidden/>
              </w:rPr>
              <w:fldChar w:fldCharType="begin"/>
            </w:r>
            <w:r w:rsidR="005916F4">
              <w:rPr>
                <w:webHidden/>
              </w:rPr>
              <w:instrText xml:space="preserve"> PAGEREF _Toc480368191 \h </w:instrText>
            </w:r>
            <w:r w:rsidR="005916F4">
              <w:rPr>
                <w:webHidden/>
              </w:rPr>
            </w:r>
            <w:r w:rsidR="005916F4">
              <w:rPr>
                <w:webHidden/>
              </w:rPr>
              <w:fldChar w:fldCharType="separate"/>
            </w:r>
            <w:r w:rsidR="005916F4">
              <w:rPr>
                <w:webHidden/>
              </w:rPr>
              <w:t>9</w:t>
            </w:r>
            <w:r w:rsidR="005916F4">
              <w:rPr>
                <w:webHidden/>
              </w:rPr>
              <w:fldChar w:fldCharType="end"/>
            </w:r>
          </w:hyperlink>
        </w:p>
        <w:p w:rsidR="005916F4" w:rsidRDefault="00DD0E47">
          <w:pPr>
            <w:pStyle w:val="TOC2"/>
            <w:rPr>
              <w:sz w:val="22"/>
              <w:lang w:eastAsia="en-US"/>
            </w:rPr>
          </w:pPr>
          <w:hyperlink w:anchor="_Toc480368192" w:history="1">
            <w:r w:rsidR="005916F4" w:rsidRPr="00327B1F">
              <w:rPr>
                <w:rStyle w:val="Hyperlink"/>
              </w:rPr>
              <w:t>Non-Compliance</w:t>
            </w:r>
            <w:r w:rsidR="005916F4">
              <w:rPr>
                <w:webHidden/>
              </w:rPr>
              <w:tab/>
            </w:r>
            <w:r w:rsidR="005916F4">
              <w:rPr>
                <w:webHidden/>
              </w:rPr>
              <w:fldChar w:fldCharType="begin"/>
            </w:r>
            <w:r w:rsidR="005916F4">
              <w:rPr>
                <w:webHidden/>
              </w:rPr>
              <w:instrText xml:space="preserve"> PAGEREF _Toc480368192 \h </w:instrText>
            </w:r>
            <w:r w:rsidR="005916F4">
              <w:rPr>
                <w:webHidden/>
              </w:rPr>
            </w:r>
            <w:r w:rsidR="005916F4">
              <w:rPr>
                <w:webHidden/>
              </w:rPr>
              <w:fldChar w:fldCharType="separate"/>
            </w:r>
            <w:r w:rsidR="005916F4">
              <w:rPr>
                <w:webHidden/>
              </w:rPr>
              <w:t>9</w:t>
            </w:r>
            <w:r w:rsidR="005916F4">
              <w:rPr>
                <w:webHidden/>
              </w:rPr>
              <w:fldChar w:fldCharType="end"/>
            </w:r>
          </w:hyperlink>
        </w:p>
        <w:p w:rsidR="005916F4" w:rsidRDefault="00DD0E47">
          <w:pPr>
            <w:pStyle w:val="TOC2"/>
            <w:rPr>
              <w:sz w:val="22"/>
              <w:lang w:eastAsia="en-US"/>
            </w:rPr>
          </w:pPr>
          <w:hyperlink w:anchor="_Toc480368193" w:history="1">
            <w:r w:rsidR="005916F4" w:rsidRPr="00327B1F">
              <w:rPr>
                <w:rStyle w:val="Hyperlink"/>
              </w:rPr>
              <w:t>Procurement by Non-Federal Entities</w:t>
            </w:r>
            <w:r w:rsidR="005916F4">
              <w:rPr>
                <w:webHidden/>
              </w:rPr>
              <w:tab/>
            </w:r>
            <w:r w:rsidR="005916F4">
              <w:rPr>
                <w:webHidden/>
              </w:rPr>
              <w:fldChar w:fldCharType="begin"/>
            </w:r>
            <w:r w:rsidR="005916F4">
              <w:rPr>
                <w:webHidden/>
              </w:rPr>
              <w:instrText xml:space="preserve"> PAGEREF _Toc480368193 \h </w:instrText>
            </w:r>
            <w:r w:rsidR="005916F4">
              <w:rPr>
                <w:webHidden/>
              </w:rPr>
            </w:r>
            <w:r w:rsidR="005916F4">
              <w:rPr>
                <w:webHidden/>
              </w:rPr>
              <w:fldChar w:fldCharType="separate"/>
            </w:r>
            <w:r w:rsidR="005916F4">
              <w:rPr>
                <w:webHidden/>
              </w:rPr>
              <w:t>9</w:t>
            </w:r>
            <w:r w:rsidR="005916F4">
              <w:rPr>
                <w:webHidden/>
              </w:rPr>
              <w:fldChar w:fldCharType="end"/>
            </w:r>
          </w:hyperlink>
        </w:p>
        <w:p w:rsidR="005916F4" w:rsidRDefault="00DD0E47">
          <w:pPr>
            <w:pStyle w:val="TOC2"/>
            <w:rPr>
              <w:sz w:val="22"/>
              <w:lang w:eastAsia="en-US"/>
            </w:rPr>
          </w:pPr>
          <w:hyperlink w:anchor="_Toc480368194" w:history="1">
            <w:r w:rsidR="005916F4" w:rsidRPr="00327B1F">
              <w:rPr>
                <w:rStyle w:val="Hyperlink"/>
              </w:rPr>
              <w:t>Records Retention</w:t>
            </w:r>
            <w:r w:rsidR="005916F4">
              <w:rPr>
                <w:webHidden/>
              </w:rPr>
              <w:tab/>
            </w:r>
            <w:r w:rsidR="005916F4">
              <w:rPr>
                <w:webHidden/>
              </w:rPr>
              <w:fldChar w:fldCharType="begin"/>
            </w:r>
            <w:r w:rsidR="005916F4">
              <w:rPr>
                <w:webHidden/>
              </w:rPr>
              <w:instrText xml:space="preserve"> PAGEREF _Toc480368194 \h </w:instrText>
            </w:r>
            <w:r w:rsidR="005916F4">
              <w:rPr>
                <w:webHidden/>
              </w:rPr>
            </w:r>
            <w:r w:rsidR="005916F4">
              <w:rPr>
                <w:webHidden/>
              </w:rPr>
              <w:fldChar w:fldCharType="separate"/>
            </w:r>
            <w:r w:rsidR="005916F4">
              <w:rPr>
                <w:webHidden/>
              </w:rPr>
              <w:t>10</w:t>
            </w:r>
            <w:r w:rsidR="005916F4">
              <w:rPr>
                <w:webHidden/>
              </w:rPr>
              <w:fldChar w:fldCharType="end"/>
            </w:r>
          </w:hyperlink>
        </w:p>
        <w:p w:rsidR="005916F4" w:rsidRDefault="00DD0E47">
          <w:pPr>
            <w:pStyle w:val="TOC2"/>
            <w:rPr>
              <w:sz w:val="22"/>
              <w:lang w:eastAsia="en-US"/>
            </w:rPr>
          </w:pPr>
          <w:hyperlink w:anchor="_Toc480368195" w:history="1">
            <w:r w:rsidR="005916F4" w:rsidRPr="00327B1F">
              <w:rPr>
                <w:rStyle w:val="Hyperlink"/>
              </w:rPr>
              <w:t>Risk Assessments (Pre-Award)</w:t>
            </w:r>
            <w:r w:rsidR="005916F4">
              <w:rPr>
                <w:webHidden/>
              </w:rPr>
              <w:tab/>
            </w:r>
            <w:r w:rsidR="005916F4">
              <w:rPr>
                <w:webHidden/>
              </w:rPr>
              <w:fldChar w:fldCharType="begin"/>
            </w:r>
            <w:r w:rsidR="005916F4">
              <w:rPr>
                <w:webHidden/>
              </w:rPr>
              <w:instrText xml:space="preserve"> PAGEREF _Toc480368195 \h </w:instrText>
            </w:r>
            <w:r w:rsidR="005916F4">
              <w:rPr>
                <w:webHidden/>
              </w:rPr>
            </w:r>
            <w:r w:rsidR="005916F4">
              <w:rPr>
                <w:webHidden/>
              </w:rPr>
              <w:fldChar w:fldCharType="separate"/>
            </w:r>
            <w:r w:rsidR="005916F4">
              <w:rPr>
                <w:webHidden/>
              </w:rPr>
              <w:t>10</w:t>
            </w:r>
            <w:r w:rsidR="005916F4">
              <w:rPr>
                <w:webHidden/>
              </w:rPr>
              <w:fldChar w:fldCharType="end"/>
            </w:r>
          </w:hyperlink>
        </w:p>
        <w:p w:rsidR="005916F4" w:rsidRDefault="00DD0E47">
          <w:pPr>
            <w:pStyle w:val="TOC2"/>
            <w:rPr>
              <w:sz w:val="22"/>
              <w:lang w:eastAsia="en-US"/>
            </w:rPr>
          </w:pPr>
          <w:hyperlink w:anchor="_Toc480368196" w:history="1">
            <w:r w:rsidR="005916F4" w:rsidRPr="00327B1F">
              <w:rPr>
                <w:rStyle w:val="Hyperlink"/>
              </w:rPr>
              <w:t>SAFECOM Guidance</w:t>
            </w:r>
            <w:r w:rsidR="005916F4">
              <w:rPr>
                <w:webHidden/>
              </w:rPr>
              <w:tab/>
            </w:r>
            <w:r w:rsidR="005916F4">
              <w:rPr>
                <w:webHidden/>
              </w:rPr>
              <w:fldChar w:fldCharType="begin"/>
            </w:r>
            <w:r w:rsidR="005916F4">
              <w:rPr>
                <w:webHidden/>
              </w:rPr>
              <w:instrText xml:space="preserve"> PAGEREF _Toc480368196 \h </w:instrText>
            </w:r>
            <w:r w:rsidR="005916F4">
              <w:rPr>
                <w:webHidden/>
              </w:rPr>
            </w:r>
            <w:r w:rsidR="005916F4">
              <w:rPr>
                <w:webHidden/>
              </w:rPr>
              <w:fldChar w:fldCharType="separate"/>
            </w:r>
            <w:r w:rsidR="005916F4">
              <w:rPr>
                <w:webHidden/>
              </w:rPr>
              <w:t>11</w:t>
            </w:r>
            <w:r w:rsidR="005916F4">
              <w:rPr>
                <w:webHidden/>
              </w:rPr>
              <w:fldChar w:fldCharType="end"/>
            </w:r>
          </w:hyperlink>
        </w:p>
        <w:p w:rsidR="005916F4" w:rsidRDefault="00DD0E47">
          <w:pPr>
            <w:pStyle w:val="TOC2"/>
            <w:rPr>
              <w:sz w:val="22"/>
              <w:lang w:eastAsia="en-US"/>
            </w:rPr>
          </w:pPr>
          <w:hyperlink w:anchor="_Toc480368197" w:history="1">
            <w:r w:rsidR="005916F4" w:rsidRPr="00327B1F">
              <w:rPr>
                <w:rStyle w:val="Hyperlink"/>
              </w:rPr>
              <w:t>Scope of Work Changes</w:t>
            </w:r>
            <w:r w:rsidR="005916F4">
              <w:rPr>
                <w:webHidden/>
              </w:rPr>
              <w:tab/>
            </w:r>
            <w:r w:rsidR="005916F4">
              <w:rPr>
                <w:webHidden/>
              </w:rPr>
              <w:fldChar w:fldCharType="begin"/>
            </w:r>
            <w:r w:rsidR="005916F4">
              <w:rPr>
                <w:webHidden/>
              </w:rPr>
              <w:instrText xml:space="preserve"> PAGEREF _Toc480368197 \h </w:instrText>
            </w:r>
            <w:r w:rsidR="005916F4">
              <w:rPr>
                <w:webHidden/>
              </w:rPr>
            </w:r>
            <w:r w:rsidR="005916F4">
              <w:rPr>
                <w:webHidden/>
              </w:rPr>
              <w:fldChar w:fldCharType="separate"/>
            </w:r>
            <w:r w:rsidR="005916F4">
              <w:rPr>
                <w:webHidden/>
              </w:rPr>
              <w:t>11</w:t>
            </w:r>
            <w:r w:rsidR="005916F4">
              <w:rPr>
                <w:webHidden/>
              </w:rPr>
              <w:fldChar w:fldCharType="end"/>
            </w:r>
          </w:hyperlink>
        </w:p>
        <w:p w:rsidR="005916F4" w:rsidRDefault="00DD0E47">
          <w:pPr>
            <w:pStyle w:val="TOC2"/>
            <w:rPr>
              <w:sz w:val="22"/>
              <w:lang w:eastAsia="en-US"/>
            </w:rPr>
          </w:pPr>
          <w:hyperlink w:anchor="_Toc480368198" w:history="1">
            <w:r w:rsidR="005916F4" w:rsidRPr="00327B1F">
              <w:rPr>
                <w:rStyle w:val="Hyperlink"/>
              </w:rPr>
              <w:t>Special Conditions</w:t>
            </w:r>
            <w:r w:rsidR="005916F4">
              <w:rPr>
                <w:webHidden/>
              </w:rPr>
              <w:tab/>
            </w:r>
            <w:r w:rsidR="005916F4">
              <w:rPr>
                <w:webHidden/>
              </w:rPr>
              <w:fldChar w:fldCharType="begin"/>
            </w:r>
            <w:r w:rsidR="005916F4">
              <w:rPr>
                <w:webHidden/>
              </w:rPr>
              <w:instrText xml:space="preserve"> PAGEREF _Toc480368198 \h </w:instrText>
            </w:r>
            <w:r w:rsidR="005916F4">
              <w:rPr>
                <w:webHidden/>
              </w:rPr>
            </w:r>
            <w:r w:rsidR="005916F4">
              <w:rPr>
                <w:webHidden/>
              </w:rPr>
              <w:fldChar w:fldCharType="separate"/>
            </w:r>
            <w:r w:rsidR="005916F4">
              <w:rPr>
                <w:webHidden/>
              </w:rPr>
              <w:t>11</w:t>
            </w:r>
            <w:r w:rsidR="005916F4">
              <w:rPr>
                <w:webHidden/>
              </w:rPr>
              <w:fldChar w:fldCharType="end"/>
            </w:r>
          </w:hyperlink>
        </w:p>
        <w:p w:rsidR="005916F4" w:rsidRDefault="00DD0E47">
          <w:pPr>
            <w:pStyle w:val="TOC2"/>
            <w:rPr>
              <w:sz w:val="22"/>
              <w:lang w:eastAsia="en-US"/>
            </w:rPr>
          </w:pPr>
          <w:hyperlink w:anchor="_Toc480368199" w:history="1">
            <w:r w:rsidR="005916F4" w:rsidRPr="00327B1F">
              <w:rPr>
                <w:rStyle w:val="Hyperlink"/>
              </w:rPr>
              <w:t>Supplanting</w:t>
            </w:r>
            <w:r w:rsidR="005916F4">
              <w:rPr>
                <w:webHidden/>
              </w:rPr>
              <w:tab/>
            </w:r>
            <w:r w:rsidR="005916F4">
              <w:rPr>
                <w:webHidden/>
              </w:rPr>
              <w:fldChar w:fldCharType="begin"/>
            </w:r>
            <w:r w:rsidR="005916F4">
              <w:rPr>
                <w:webHidden/>
              </w:rPr>
              <w:instrText xml:space="preserve"> PAGEREF _Toc480368199 \h </w:instrText>
            </w:r>
            <w:r w:rsidR="005916F4">
              <w:rPr>
                <w:webHidden/>
              </w:rPr>
            </w:r>
            <w:r w:rsidR="005916F4">
              <w:rPr>
                <w:webHidden/>
              </w:rPr>
              <w:fldChar w:fldCharType="separate"/>
            </w:r>
            <w:r w:rsidR="005916F4">
              <w:rPr>
                <w:webHidden/>
              </w:rPr>
              <w:t>11</w:t>
            </w:r>
            <w:r w:rsidR="005916F4">
              <w:rPr>
                <w:webHidden/>
              </w:rPr>
              <w:fldChar w:fldCharType="end"/>
            </w:r>
          </w:hyperlink>
        </w:p>
        <w:p w:rsidR="005916F4" w:rsidRDefault="00DD0E47">
          <w:pPr>
            <w:pStyle w:val="TOC2"/>
            <w:rPr>
              <w:sz w:val="22"/>
              <w:lang w:eastAsia="en-US"/>
            </w:rPr>
          </w:pPr>
          <w:hyperlink w:anchor="_Toc480368200" w:history="1">
            <w:r w:rsidR="005916F4" w:rsidRPr="00327B1F">
              <w:rPr>
                <w:rStyle w:val="Hyperlink"/>
              </w:rPr>
              <w:t>System for Award Management (SAM)</w:t>
            </w:r>
            <w:r w:rsidR="005916F4">
              <w:rPr>
                <w:webHidden/>
              </w:rPr>
              <w:tab/>
            </w:r>
            <w:r w:rsidR="005916F4">
              <w:rPr>
                <w:webHidden/>
              </w:rPr>
              <w:fldChar w:fldCharType="begin"/>
            </w:r>
            <w:r w:rsidR="005916F4">
              <w:rPr>
                <w:webHidden/>
              </w:rPr>
              <w:instrText xml:space="preserve"> PAGEREF _Toc480368200 \h </w:instrText>
            </w:r>
            <w:r w:rsidR="005916F4">
              <w:rPr>
                <w:webHidden/>
              </w:rPr>
            </w:r>
            <w:r w:rsidR="005916F4">
              <w:rPr>
                <w:webHidden/>
              </w:rPr>
              <w:fldChar w:fldCharType="separate"/>
            </w:r>
            <w:r w:rsidR="005916F4">
              <w:rPr>
                <w:webHidden/>
              </w:rPr>
              <w:t>12</w:t>
            </w:r>
            <w:r w:rsidR="005916F4">
              <w:rPr>
                <w:webHidden/>
              </w:rPr>
              <w:fldChar w:fldCharType="end"/>
            </w:r>
          </w:hyperlink>
        </w:p>
        <w:p w:rsidR="005916F4" w:rsidRDefault="00DD0E47">
          <w:pPr>
            <w:pStyle w:val="TOC2"/>
            <w:rPr>
              <w:sz w:val="22"/>
              <w:lang w:eastAsia="en-US"/>
            </w:rPr>
          </w:pPr>
          <w:hyperlink w:anchor="_Toc480368201" w:history="1">
            <w:r w:rsidR="005916F4" w:rsidRPr="00327B1F">
              <w:rPr>
                <w:rStyle w:val="Hyperlink"/>
              </w:rPr>
              <w:t>Use and Disposition of Equipment</w:t>
            </w:r>
            <w:r w:rsidR="005916F4">
              <w:rPr>
                <w:webHidden/>
              </w:rPr>
              <w:tab/>
            </w:r>
            <w:r w:rsidR="005916F4">
              <w:rPr>
                <w:webHidden/>
              </w:rPr>
              <w:fldChar w:fldCharType="begin"/>
            </w:r>
            <w:r w:rsidR="005916F4">
              <w:rPr>
                <w:webHidden/>
              </w:rPr>
              <w:instrText xml:space="preserve"> PAGEREF _Toc480368201 \h </w:instrText>
            </w:r>
            <w:r w:rsidR="005916F4">
              <w:rPr>
                <w:webHidden/>
              </w:rPr>
            </w:r>
            <w:r w:rsidR="005916F4">
              <w:rPr>
                <w:webHidden/>
              </w:rPr>
              <w:fldChar w:fldCharType="separate"/>
            </w:r>
            <w:r w:rsidR="005916F4">
              <w:rPr>
                <w:webHidden/>
              </w:rPr>
              <w:t>12</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202" w:history="1">
            <w:r w:rsidR="005916F4" w:rsidRPr="00327B1F">
              <w:rPr>
                <w:rStyle w:val="Hyperlink"/>
              </w:rPr>
              <w:t>Allowable Costs</w:t>
            </w:r>
            <w:r w:rsidR="005916F4">
              <w:rPr>
                <w:webHidden/>
              </w:rPr>
              <w:tab/>
            </w:r>
            <w:r w:rsidR="005916F4">
              <w:rPr>
                <w:webHidden/>
              </w:rPr>
              <w:fldChar w:fldCharType="begin"/>
            </w:r>
            <w:r w:rsidR="005916F4">
              <w:rPr>
                <w:webHidden/>
              </w:rPr>
              <w:instrText xml:space="preserve"> PAGEREF _Toc480368202 \h </w:instrText>
            </w:r>
            <w:r w:rsidR="005916F4">
              <w:rPr>
                <w:webHidden/>
              </w:rPr>
            </w:r>
            <w:r w:rsidR="005916F4">
              <w:rPr>
                <w:webHidden/>
              </w:rPr>
              <w:fldChar w:fldCharType="separate"/>
            </w:r>
            <w:r w:rsidR="005916F4">
              <w:rPr>
                <w:webHidden/>
              </w:rPr>
              <w:t>13</w:t>
            </w:r>
            <w:r w:rsidR="005916F4">
              <w:rPr>
                <w:webHidden/>
              </w:rPr>
              <w:fldChar w:fldCharType="end"/>
            </w:r>
          </w:hyperlink>
        </w:p>
        <w:p w:rsidR="005916F4" w:rsidRDefault="00DD0E47">
          <w:pPr>
            <w:pStyle w:val="TOC2"/>
            <w:rPr>
              <w:sz w:val="22"/>
              <w:lang w:eastAsia="en-US"/>
            </w:rPr>
          </w:pPr>
          <w:hyperlink w:anchor="_Toc480368203" w:history="1">
            <w:r w:rsidR="005916F4" w:rsidRPr="00327B1F">
              <w:rPr>
                <w:rStyle w:val="Hyperlink"/>
              </w:rPr>
              <w:t>A. Planning</w:t>
            </w:r>
            <w:r w:rsidR="005916F4">
              <w:rPr>
                <w:webHidden/>
              </w:rPr>
              <w:tab/>
            </w:r>
            <w:r w:rsidR="005916F4">
              <w:rPr>
                <w:webHidden/>
              </w:rPr>
              <w:fldChar w:fldCharType="begin"/>
            </w:r>
            <w:r w:rsidR="005916F4">
              <w:rPr>
                <w:webHidden/>
              </w:rPr>
              <w:instrText xml:space="preserve"> PAGEREF _Toc480368203 \h </w:instrText>
            </w:r>
            <w:r w:rsidR="005916F4">
              <w:rPr>
                <w:webHidden/>
              </w:rPr>
            </w:r>
            <w:r w:rsidR="005916F4">
              <w:rPr>
                <w:webHidden/>
              </w:rPr>
              <w:fldChar w:fldCharType="separate"/>
            </w:r>
            <w:r w:rsidR="005916F4">
              <w:rPr>
                <w:webHidden/>
              </w:rPr>
              <w:t>13</w:t>
            </w:r>
            <w:r w:rsidR="005916F4">
              <w:rPr>
                <w:webHidden/>
              </w:rPr>
              <w:fldChar w:fldCharType="end"/>
            </w:r>
          </w:hyperlink>
        </w:p>
        <w:p w:rsidR="005916F4" w:rsidRDefault="00DD0E47">
          <w:pPr>
            <w:pStyle w:val="TOC3"/>
            <w:tabs>
              <w:tab w:val="left" w:pos="880"/>
              <w:tab w:val="right" w:leader="dot" w:pos="9350"/>
            </w:tabs>
            <w:rPr>
              <w:noProof/>
              <w:lang w:eastAsia="en-US"/>
            </w:rPr>
          </w:pPr>
          <w:hyperlink w:anchor="_Toc480368204" w:history="1">
            <w:r w:rsidR="005916F4" w:rsidRPr="00327B1F">
              <w:rPr>
                <w:rStyle w:val="Hyperlink"/>
                <w:noProof/>
              </w:rPr>
              <w:t>1.</w:t>
            </w:r>
            <w:r w:rsidR="005916F4">
              <w:rPr>
                <w:noProof/>
                <w:lang w:eastAsia="en-US"/>
              </w:rPr>
              <w:tab/>
            </w:r>
            <w:r w:rsidR="005916F4" w:rsidRPr="00327B1F">
              <w:rPr>
                <w:rStyle w:val="Hyperlink"/>
                <w:noProof/>
              </w:rPr>
              <w:t>Local Emergency Operations Plan (LEOP)</w:t>
            </w:r>
            <w:r w:rsidR="005916F4">
              <w:rPr>
                <w:noProof/>
                <w:webHidden/>
              </w:rPr>
              <w:tab/>
            </w:r>
            <w:r w:rsidR="005916F4">
              <w:rPr>
                <w:noProof/>
                <w:webHidden/>
              </w:rPr>
              <w:fldChar w:fldCharType="begin"/>
            </w:r>
            <w:r w:rsidR="005916F4">
              <w:rPr>
                <w:noProof/>
                <w:webHidden/>
              </w:rPr>
              <w:instrText xml:space="preserve"> PAGEREF _Toc480368204 \h </w:instrText>
            </w:r>
            <w:r w:rsidR="005916F4">
              <w:rPr>
                <w:noProof/>
                <w:webHidden/>
              </w:rPr>
            </w:r>
            <w:r w:rsidR="005916F4">
              <w:rPr>
                <w:noProof/>
                <w:webHidden/>
              </w:rPr>
              <w:fldChar w:fldCharType="separate"/>
            </w:r>
            <w:r w:rsidR="005916F4">
              <w:rPr>
                <w:noProof/>
                <w:webHidden/>
              </w:rPr>
              <w:t>13</w:t>
            </w:r>
            <w:r w:rsidR="005916F4">
              <w:rPr>
                <w:noProof/>
                <w:webHidden/>
              </w:rPr>
              <w:fldChar w:fldCharType="end"/>
            </w:r>
          </w:hyperlink>
        </w:p>
        <w:p w:rsidR="005916F4" w:rsidRDefault="00DD0E47">
          <w:pPr>
            <w:pStyle w:val="TOC3"/>
            <w:tabs>
              <w:tab w:val="left" w:pos="880"/>
              <w:tab w:val="right" w:leader="dot" w:pos="9350"/>
            </w:tabs>
            <w:rPr>
              <w:noProof/>
              <w:lang w:eastAsia="en-US"/>
            </w:rPr>
          </w:pPr>
          <w:hyperlink w:anchor="_Toc480368205" w:history="1">
            <w:r w:rsidR="005916F4" w:rsidRPr="00327B1F">
              <w:rPr>
                <w:rStyle w:val="Hyperlink"/>
                <w:noProof/>
              </w:rPr>
              <w:t>2.</w:t>
            </w:r>
            <w:r w:rsidR="005916F4">
              <w:rPr>
                <w:noProof/>
                <w:lang w:eastAsia="en-US"/>
              </w:rPr>
              <w:tab/>
            </w:r>
            <w:r w:rsidR="005916F4" w:rsidRPr="00327B1F">
              <w:rPr>
                <w:rStyle w:val="Hyperlink"/>
                <w:noProof/>
              </w:rPr>
              <w:t>Continuity of Operations Plan (COOP)</w:t>
            </w:r>
            <w:r w:rsidR="005916F4">
              <w:rPr>
                <w:noProof/>
                <w:webHidden/>
              </w:rPr>
              <w:tab/>
            </w:r>
            <w:r w:rsidR="005916F4">
              <w:rPr>
                <w:noProof/>
                <w:webHidden/>
              </w:rPr>
              <w:fldChar w:fldCharType="begin"/>
            </w:r>
            <w:r w:rsidR="005916F4">
              <w:rPr>
                <w:noProof/>
                <w:webHidden/>
              </w:rPr>
              <w:instrText xml:space="preserve"> PAGEREF _Toc480368205 \h </w:instrText>
            </w:r>
            <w:r w:rsidR="005916F4">
              <w:rPr>
                <w:noProof/>
                <w:webHidden/>
              </w:rPr>
            </w:r>
            <w:r w:rsidR="005916F4">
              <w:rPr>
                <w:noProof/>
                <w:webHidden/>
              </w:rPr>
              <w:fldChar w:fldCharType="separate"/>
            </w:r>
            <w:r w:rsidR="005916F4">
              <w:rPr>
                <w:noProof/>
                <w:webHidden/>
              </w:rPr>
              <w:t>13</w:t>
            </w:r>
            <w:r w:rsidR="005916F4">
              <w:rPr>
                <w:noProof/>
                <w:webHidden/>
              </w:rPr>
              <w:fldChar w:fldCharType="end"/>
            </w:r>
          </w:hyperlink>
        </w:p>
        <w:p w:rsidR="005916F4" w:rsidRDefault="00DD0E47">
          <w:pPr>
            <w:pStyle w:val="TOC2"/>
            <w:rPr>
              <w:sz w:val="22"/>
              <w:lang w:eastAsia="en-US"/>
            </w:rPr>
          </w:pPr>
          <w:hyperlink w:anchor="_Toc480368206" w:history="1">
            <w:r w:rsidR="005916F4" w:rsidRPr="00327B1F">
              <w:rPr>
                <w:rStyle w:val="Hyperlink"/>
              </w:rPr>
              <w:t>B. Organization/Administrative</w:t>
            </w:r>
            <w:r w:rsidR="005916F4">
              <w:rPr>
                <w:webHidden/>
              </w:rPr>
              <w:tab/>
            </w:r>
            <w:r w:rsidR="005916F4">
              <w:rPr>
                <w:webHidden/>
              </w:rPr>
              <w:fldChar w:fldCharType="begin"/>
            </w:r>
            <w:r w:rsidR="005916F4">
              <w:rPr>
                <w:webHidden/>
              </w:rPr>
              <w:instrText xml:space="preserve"> PAGEREF _Toc480368206 \h </w:instrText>
            </w:r>
            <w:r w:rsidR="005916F4">
              <w:rPr>
                <w:webHidden/>
              </w:rPr>
            </w:r>
            <w:r w:rsidR="005916F4">
              <w:rPr>
                <w:webHidden/>
              </w:rPr>
              <w:fldChar w:fldCharType="separate"/>
            </w:r>
            <w:r w:rsidR="005916F4">
              <w:rPr>
                <w:webHidden/>
              </w:rPr>
              <w:t>15</w:t>
            </w:r>
            <w:r w:rsidR="005916F4">
              <w:rPr>
                <w:webHidden/>
              </w:rPr>
              <w:fldChar w:fldCharType="end"/>
            </w:r>
          </w:hyperlink>
        </w:p>
        <w:p w:rsidR="005916F4" w:rsidRDefault="00DD0E47">
          <w:pPr>
            <w:pStyle w:val="TOC2"/>
            <w:rPr>
              <w:sz w:val="22"/>
              <w:lang w:eastAsia="en-US"/>
            </w:rPr>
          </w:pPr>
          <w:hyperlink w:anchor="_Toc480368207" w:history="1">
            <w:r w:rsidR="005916F4" w:rsidRPr="00327B1F">
              <w:rPr>
                <w:rStyle w:val="Hyperlink"/>
              </w:rPr>
              <w:t>C. Equipment</w:t>
            </w:r>
            <w:r w:rsidR="005916F4">
              <w:rPr>
                <w:webHidden/>
              </w:rPr>
              <w:tab/>
            </w:r>
            <w:r w:rsidR="005916F4">
              <w:rPr>
                <w:webHidden/>
              </w:rPr>
              <w:fldChar w:fldCharType="begin"/>
            </w:r>
            <w:r w:rsidR="005916F4">
              <w:rPr>
                <w:webHidden/>
              </w:rPr>
              <w:instrText xml:space="preserve"> PAGEREF _Toc480368207 \h </w:instrText>
            </w:r>
            <w:r w:rsidR="005916F4">
              <w:rPr>
                <w:webHidden/>
              </w:rPr>
            </w:r>
            <w:r w:rsidR="005916F4">
              <w:rPr>
                <w:webHidden/>
              </w:rPr>
              <w:fldChar w:fldCharType="separate"/>
            </w:r>
            <w:r w:rsidR="005916F4">
              <w:rPr>
                <w:webHidden/>
              </w:rPr>
              <w:t>16</w:t>
            </w:r>
            <w:r w:rsidR="005916F4">
              <w:rPr>
                <w:webHidden/>
              </w:rPr>
              <w:fldChar w:fldCharType="end"/>
            </w:r>
          </w:hyperlink>
        </w:p>
        <w:p w:rsidR="005916F4" w:rsidRDefault="00DD0E47">
          <w:pPr>
            <w:pStyle w:val="TOC2"/>
            <w:rPr>
              <w:sz w:val="22"/>
              <w:lang w:eastAsia="en-US"/>
            </w:rPr>
          </w:pPr>
          <w:hyperlink w:anchor="_Toc480368208" w:history="1">
            <w:r w:rsidR="005916F4" w:rsidRPr="00327B1F">
              <w:rPr>
                <w:rStyle w:val="Hyperlink"/>
              </w:rPr>
              <w:t>D. Maintenance and Sustainment</w:t>
            </w:r>
            <w:r w:rsidR="005916F4">
              <w:rPr>
                <w:webHidden/>
              </w:rPr>
              <w:tab/>
            </w:r>
            <w:r w:rsidR="005916F4">
              <w:rPr>
                <w:webHidden/>
              </w:rPr>
              <w:fldChar w:fldCharType="begin"/>
            </w:r>
            <w:r w:rsidR="005916F4">
              <w:rPr>
                <w:webHidden/>
              </w:rPr>
              <w:instrText xml:space="preserve"> PAGEREF _Toc480368208 \h </w:instrText>
            </w:r>
            <w:r w:rsidR="005916F4">
              <w:rPr>
                <w:webHidden/>
              </w:rPr>
            </w:r>
            <w:r w:rsidR="005916F4">
              <w:rPr>
                <w:webHidden/>
              </w:rPr>
              <w:fldChar w:fldCharType="separate"/>
            </w:r>
            <w:r w:rsidR="005916F4">
              <w:rPr>
                <w:webHidden/>
              </w:rPr>
              <w:t>17</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209" w:history="1">
            <w:r w:rsidR="005916F4" w:rsidRPr="00327B1F">
              <w:rPr>
                <w:rStyle w:val="Hyperlink"/>
              </w:rPr>
              <w:t>High Priority Projects</w:t>
            </w:r>
            <w:r w:rsidR="005916F4">
              <w:rPr>
                <w:webHidden/>
              </w:rPr>
              <w:tab/>
            </w:r>
            <w:r w:rsidR="005916F4">
              <w:rPr>
                <w:webHidden/>
              </w:rPr>
              <w:fldChar w:fldCharType="begin"/>
            </w:r>
            <w:r w:rsidR="005916F4">
              <w:rPr>
                <w:webHidden/>
              </w:rPr>
              <w:instrText xml:space="preserve"> PAGEREF _Toc480368209 \h </w:instrText>
            </w:r>
            <w:r w:rsidR="005916F4">
              <w:rPr>
                <w:webHidden/>
              </w:rPr>
            </w:r>
            <w:r w:rsidR="005916F4">
              <w:rPr>
                <w:webHidden/>
              </w:rPr>
              <w:fldChar w:fldCharType="separate"/>
            </w:r>
            <w:r w:rsidR="005916F4">
              <w:rPr>
                <w:webHidden/>
              </w:rPr>
              <w:t>18</w:t>
            </w:r>
            <w:r w:rsidR="005916F4">
              <w:rPr>
                <w:webHidden/>
              </w:rPr>
              <w:fldChar w:fldCharType="end"/>
            </w:r>
          </w:hyperlink>
        </w:p>
        <w:p w:rsidR="005916F4" w:rsidRDefault="00DD0E47">
          <w:pPr>
            <w:pStyle w:val="TOC2"/>
            <w:rPr>
              <w:sz w:val="22"/>
              <w:lang w:eastAsia="en-US"/>
            </w:rPr>
          </w:pPr>
          <w:hyperlink w:anchor="_Toc480368210" w:history="1">
            <w:r w:rsidR="005916F4" w:rsidRPr="00327B1F">
              <w:rPr>
                <w:rStyle w:val="Hyperlink"/>
              </w:rPr>
              <w:t>School Emergency Notification Software</w:t>
            </w:r>
            <w:r w:rsidR="005916F4">
              <w:rPr>
                <w:webHidden/>
              </w:rPr>
              <w:tab/>
            </w:r>
            <w:r w:rsidR="005916F4">
              <w:rPr>
                <w:webHidden/>
              </w:rPr>
              <w:fldChar w:fldCharType="begin"/>
            </w:r>
            <w:r w:rsidR="005916F4">
              <w:rPr>
                <w:webHidden/>
              </w:rPr>
              <w:instrText xml:space="preserve"> PAGEREF _Toc480368210 \h </w:instrText>
            </w:r>
            <w:r w:rsidR="005916F4">
              <w:rPr>
                <w:webHidden/>
              </w:rPr>
            </w:r>
            <w:r w:rsidR="005916F4">
              <w:rPr>
                <w:webHidden/>
              </w:rPr>
              <w:fldChar w:fldCharType="separate"/>
            </w:r>
            <w:r w:rsidR="005916F4">
              <w:rPr>
                <w:webHidden/>
              </w:rPr>
              <w:t>18</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211" w:history="1">
            <w:r w:rsidR="005916F4" w:rsidRPr="00327B1F">
              <w:rPr>
                <w:rStyle w:val="Hyperlink"/>
              </w:rPr>
              <w:t>Medium Priority Projects/Allowable Costs</w:t>
            </w:r>
            <w:r w:rsidR="005916F4">
              <w:rPr>
                <w:webHidden/>
              </w:rPr>
              <w:tab/>
            </w:r>
            <w:r w:rsidR="005916F4">
              <w:rPr>
                <w:webHidden/>
              </w:rPr>
              <w:fldChar w:fldCharType="begin"/>
            </w:r>
            <w:r w:rsidR="005916F4">
              <w:rPr>
                <w:webHidden/>
              </w:rPr>
              <w:instrText xml:space="preserve"> PAGEREF _Toc480368211 \h </w:instrText>
            </w:r>
            <w:r w:rsidR="005916F4">
              <w:rPr>
                <w:webHidden/>
              </w:rPr>
            </w:r>
            <w:r w:rsidR="005916F4">
              <w:rPr>
                <w:webHidden/>
              </w:rPr>
              <w:fldChar w:fldCharType="separate"/>
            </w:r>
            <w:r w:rsidR="005916F4">
              <w:rPr>
                <w:webHidden/>
              </w:rPr>
              <w:t>19</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212" w:history="1">
            <w:r w:rsidR="005916F4" w:rsidRPr="00327B1F">
              <w:rPr>
                <w:rStyle w:val="Hyperlink"/>
              </w:rPr>
              <w:t>Low Priority Projects/Allowable Costs</w:t>
            </w:r>
            <w:r w:rsidR="005916F4">
              <w:rPr>
                <w:webHidden/>
              </w:rPr>
              <w:tab/>
            </w:r>
            <w:r w:rsidR="005916F4">
              <w:rPr>
                <w:webHidden/>
              </w:rPr>
              <w:fldChar w:fldCharType="begin"/>
            </w:r>
            <w:r w:rsidR="005916F4">
              <w:rPr>
                <w:webHidden/>
              </w:rPr>
              <w:instrText xml:space="preserve"> PAGEREF _Toc480368212 \h </w:instrText>
            </w:r>
            <w:r w:rsidR="005916F4">
              <w:rPr>
                <w:webHidden/>
              </w:rPr>
            </w:r>
            <w:r w:rsidR="005916F4">
              <w:rPr>
                <w:webHidden/>
              </w:rPr>
              <w:fldChar w:fldCharType="separate"/>
            </w:r>
            <w:r w:rsidR="005916F4">
              <w:rPr>
                <w:webHidden/>
              </w:rPr>
              <w:t>20</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213" w:history="1">
            <w:r w:rsidR="005916F4" w:rsidRPr="00327B1F">
              <w:rPr>
                <w:rStyle w:val="Hyperlink"/>
              </w:rPr>
              <w:t>Unallowable Costs/Items Not Funded</w:t>
            </w:r>
            <w:r w:rsidR="005916F4">
              <w:rPr>
                <w:webHidden/>
              </w:rPr>
              <w:tab/>
            </w:r>
            <w:r w:rsidR="005916F4">
              <w:rPr>
                <w:webHidden/>
              </w:rPr>
              <w:fldChar w:fldCharType="begin"/>
            </w:r>
            <w:r w:rsidR="005916F4">
              <w:rPr>
                <w:webHidden/>
              </w:rPr>
              <w:instrText xml:space="preserve"> PAGEREF _Toc480368213 \h </w:instrText>
            </w:r>
            <w:r w:rsidR="005916F4">
              <w:rPr>
                <w:webHidden/>
              </w:rPr>
            </w:r>
            <w:r w:rsidR="005916F4">
              <w:rPr>
                <w:webHidden/>
              </w:rPr>
              <w:fldChar w:fldCharType="separate"/>
            </w:r>
            <w:r w:rsidR="005916F4">
              <w:rPr>
                <w:webHidden/>
              </w:rPr>
              <w:t>20</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214" w:history="1">
            <w:r w:rsidR="005916F4" w:rsidRPr="00327B1F">
              <w:rPr>
                <w:rStyle w:val="Hyperlink"/>
              </w:rPr>
              <w:t>Waiver and Appeal Process</w:t>
            </w:r>
            <w:r w:rsidR="005916F4">
              <w:rPr>
                <w:webHidden/>
              </w:rPr>
              <w:tab/>
            </w:r>
            <w:r w:rsidR="005916F4">
              <w:rPr>
                <w:webHidden/>
              </w:rPr>
              <w:fldChar w:fldCharType="begin"/>
            </w:r>
            <w:r w:rsidR="005916F4">
              <w:rPr>
                <w:webHidden/>
              </w:rPr>
              <w:instrText xml:space="preserve"> PAGEREF _Toc480368214 \h </w:instrText>
            </w:r>
            <w:r w:rsidR="005916F4">
              <w:rPr>
                <w:webHidden/>
              </w:rPr>
            </w:r>
            <w:r w:rsidR="005916F4">
              <w:rPr>
                <w:webHidden/>
              </w:rPr>
              <w:fldChar w:fldCharType="separate"/>
            </w:r>
            <w:r w:rsidR="005916F4">
              <w:rPr>
                <w:webHidden/>
              </w:rPr>
              <w:t>21</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215" w:history="1">
            <w:r w:rsidR="005916F4" w:rsidRPr="00327B1F">
              <w:rPr>
                <w:rStyle w:val="Hyperlink"/>
              </w:rPr>
              <w:t>Reporting Requirements</w:t>
            </w:r>
            <w:r w:rsidR="005916F4">
              <w:rPr>
                <w:webHidden/>
              </w:rPr>
              <w:tab/>
            </w:r>
            <w:r w:rsidR="005916F4">
              <w:rPr>
                <w:webHidden/>
              </w:rPr>
              <w:fldChar w:fldCharType="begin"/>
            </w:r>
            <w:r w:rsidR="005916F4">
              <w:rPr>
                <w:webHidden/>
              </w:rPr>
              <w:instrText xml:space="preserve"> PAGEREF _Toc480368215 \h </w:instrText>
            </w:r>
            <w:r w:rsidR="005916F4">
              <w:rPr>
                <w:webHidden/>
              </w:rPr>
            </w:r>
            <w:r w:rsidR="005916F4">
              <w:rPr>
                <w:webHidden/>
              </w:rPr>
              <w:fldChar w:fldCharType="separate"/>
            </w:r>
            <w:r w:rsidR="005916F4">
              <w:rPr>
                <w:webHidden/>
              </w:rPr>
              <w:t>22</w:t>
            </w:r>
            <w:r w:rsidR="005916F4">
              <w:rPr>
                <w:webHidden/>
              </w:rPr>
              <w:fldChar w:fldCharType="end"/>
            </w:r>
          </w:hyperlink>
        </w:p>
        <w:p w:rsidR="005916F4" w:rsidRDefault="00DD0E47">
          <w:pPr>
            <w:pStyle w:val="TOC2"/>
            <w:rPr>
              <w:sz w:val="22"/>
              <w:lang w:eastAsia="en-US"/>
            </w:rPr>
          </w:pPr>
          <w:hyperlink w:anchor="_Toc480368216" w:history="1">
            <w:r w:rsidR="005916F4" w:rsidRPr="00327B1F">
              <w:rPr>
                <w:rStyle w:val="Hyperlink"/>
              </w:rPr>
              <w:t>Federal Funding Accountability and Transparency Act (FFATA) Reporting Mandate</w:t>
            </w:r>
            <w:r w:rsidR="005916F4">
              <w:rPr>
                <w:webHidden/>
              </w:rPr>
              <w:tab/>
            </w:r>
            <w:r w:rsidR="005916F4">
              <w:rPr>
                <w:webHidden/>
              </w:rPr>
              <w:fldChar w:fldCharType="begin"/>
            </w:r>
            <w:r w:rsidR="005916F4">
              <w:rPr>
                <w:webHidden/>
              </w:rPr>
              <w:instrText xml:space="preserve"> PAGEREF _Toc480368216 \h </w:instrText>
            </w:r>
            <w:r w:rsidR="005916F4">
              <w:rPr>
                <w:webHidden/>
              </w:rPr>
            </w:r>
            <w:r w:rsidR="005916F4">
              <w:rPr>
                <w:webHidden/>
              </w:rPr>
              <w:fldChar w:fldCharType="separate"/>
            </w:r>
            <w:r w:rsidR="005916F4">
              <w:rPr>
                <w:webHidden/>
              </w:rPr>
              <w:t>22</w:t>
            </w:r>
            <w:r w:rsidR="005916F4">
              <w:rPr>
                <w:webHidden/>
              </w:rPr>
              <w:fldChar w:fldCharType="end"/>
            </w:r>
          </w:hyperlink>
        </w:p>
        <w:p w:rsidR="005916F4" w:rsidRDefault="00DD0E47">
          <w:pPr>
            <w:pStyle w:val="TOC2"/>
            <w:rPr>
              <w:sz w:val="22"/>
              <w:lang w:eastAsia="en-US"/>
            </w:rPr>
          </w:pPr>
          <w:hyperlink w:anchor="_Toc480368217" w:history="1">
            <w:r w:rsidR="005916F4" w:rsidRPr="00327B1F">
              <w:rPr>
                <w:rStyle w:val="Hyperlink"/>
              </w:rPr>
              <w:t>Quarterly Progress Reporting</w:t>
            </w:r>
            <w:r w:rsidR="005916F4">
              <w:rPr>
                <w:webHidden/>
              </w:rPr>
              <w:tab/>
            </w:r>
            <w:r w:rsidR="005916F4">
              <w:rPr>
                <w:webHidden/>
              </w:rPr>
              <w:fldChar w:fldCharType="begin"/>
            </w:r>
            <w:r w:rsidR="005916F4">
              <w:rPr>
                <w:webHidden/>
              </w:rPr>
              <w:instrText xml:space="preserve"> PAGEREF _Toc480368217 \h </w:instrText>
            </w:r>
            <w:r w:rsidR="005916F4">
              <w:rPr>
                <w:webHidden/>
              </w:rPr>
            </w:r>
            <w:r w:rsidR="005916F4">
              <w:rPr>
                <w:webHidden/>
              </w:rPr>
              <w:fldChar w:fldCharType="separate"/>
            </w:r>
            <w:r w:rsidR="005916F4">
              <w:rPr>
                <w:webHidden/>
              </w:rPr>
              <w:t>22</w:t>
            </w:r>
            <w:r w:rsidR="005916F4">
              <w:rPr>
                <w:webHidden/>
              </w:rPr>
              <w:fldChar w:fldCharType="end"/>
            </w:r>
          </w:hyperlink>
        </w:p>
        <w:p w:rsidR="005916F4" w:rsidRDefault="00DD0E47">
          <w:pPr>
            <w:pStyle w:val="TOC2"/>
            <w:rPr>
              <w:sz w:val="22"/>
              <w:lang w:eastAsia="en-US"/>
            </w:rPr>
          </w:pPr>
          <w:hyperlink w:anchor="_Toc480368218" w:history="1">
            <w:r w:rsidR="005916F4" w:rsidRPr="00327B1F">
              <w:rPr>
                <w:rStyle w:val="Hyperlink"/>
              </w:rPr>
              <w:t>Compliance of Audit Requirements</w:t>
            </w:r>
            <w:r w:rsidR="005916F4">
              <w:rPr>
                <w:webHidden/>
              </w:rPr>
              <w:tab/>
            </w:r>
            <w:r w:rsidR="005916F4">
              <w:rPr>
                <w:webHidden/>
              </w:rPr>
              <w:fldChar w:fldCharType="begin"/>
            </w:r>
            <w:r w:rsidR="005916F4">
              <w:rPr>
                <w:webHidden/>
              </w:rPr>
              <w:instrText xml:space="preserve"> PAGEREF _Toc480368218 \h </w:instrText>
            </w:r>
            <w:r w:rsidR="005916F4">
              <w:rPr>
                <w:webHidden/>
              </w:rPr>
            </w:r>
            <w:r w:rsidR="005916F4">
              <w:rPr>
                <w:webHidden/>
              </w:rPr>
              <w:fldChar w:fldCharType="separate"/>
            </w:r>
            <w:r w:rsidR="005916F4">
              <w:rPr>
                <w:webHidden/>
              </w:rPr>
              <w:t>22</w:t>
            </w:r>
            <w:r w:rsidR="005916F4">
              <w:rPr>
                <w:webHidden/>
              </w:rPr>
              <w:fldChar w:fldCharType="end"/>
            </w:r>
          </w:hyperlink>
        </w:p>
        <w:p w:rsidR="005916F4" w:rsidRDefault="00DD0E47">
          <w:pPr>
            <w:pStyle w:val="TOC1"/>
            <w:rPr>
              <w:rFonts w:eastAsiaTheme="minorEastAsia" w:cstheme="minorBidi"/>
              <w:b w:val="0"/>
              <w:color w:val="auto"/>
              <w:sz w:val="22"/>
              <w:szCs w:val="22"/>
            </w:rPr>
          </w:pPr>
          <w:hyperlink w:anchor="_Toc480368219" w:history="1">
            <w:r w:rsidR="005916F4" w:rsidRPr="00327B1F">
              <w:rPr>
                <w:rStyle w:val="Hyperlink"/>
              </w:rPr>
              <w:t>Close Out Process</w:t>
            </w:r>
            <w:r w:rsidR="005916F4">
              <w:rPr>
                <w:webHidden/>
              </w:rPr>
              <w:tab/>
            </w:r>
            <w:r w:rsidR="005916F4">
              <w:rPr>
                <w:webHidden/>
              </w:rPr>
              <w:fldChar w:fldCharType="begin"/>
            </w:r>
            <w:r w:rsidR="005916F4">
              <w:rPr>
                <w:webHidden/>
              </w:rPr>
              <w:instrText xml:space="preserve"> PAGEREF _Toc480368219 \h </w:instrText>
            </w:r>
            <w:r w:rsidR="005916F4">
              <w:rPr>
                <w:webHidden/>
              </w:rPr>
            </w:r>
            <w:r w:rsidR="005916F4">
              <w:rPr>
                <w:webHidden/>
              </w:rPr>
              <w:fldChar w:fldCharType="separate"/>
            </w:r>
            <w:r w:rsidR="005916F4">
              <w:rPr>
                <w:webHidden/>
              </w:rPr>
              <w:t>23</w:t>
            </w:r>
            <w:r w:rsidR="005916F4">
              <w:rPr>
                <w:webHidden/>
              </w:rPr>
              <w:fldChar w:fldCharType="end"/>
            </w:r>
          </w:hyperlink>
        </w:p>
        <w:p w:rsidR="005916F4" w:rsidRDefault="00DD0E47">
          <w:pPr>
            <w:pStyle w:val="TOC2"/>
            <w:rPr>
              <w:sz w:val="22"/>
              <w:lang w:eastAsia="en-US"/>
            </w:rPr>
          </w:pPr>
          <w:hyperlink w:anchor="_Toc480368220" w:history="1">
            <w:r w:rsidR="005916F4" w:rsidRPr="00327B1F">
              <w:rPr>
                <w:rStyle w:val="Hyperlink"/>
              </w:rPr>
              <w:t>Final Performance and Expenditure Report</w:t>
            </w:r>
            <w:r w:rsidR="005916F4">
              <w:rPr>
                <w:webHidden/>
              </w:rPr>
              <w:tab/>
            </w:r>
            <w:r w:rsidR="005916F4">
              <w:rPr>
                <w:webHidden/>
              </w:rPr>
              <w:fldChar w:fldCharType="begin"/>
            </w:r>
            <w:r w:rsidR="005916F4">
              <w:rPr>
                <w:webHidden/>
              </w:rPr>
              <w:instrText xml:space="preserve"> PAGEREF _Toc480368220 \h </w:instrText>
            </w:r>
            <w:r w:rsidR="005916F4">
              <w:rPr>
                <w:webHidden/>
              </w:rPr>
            </w:r>
            <w:r w:rsidR="005916F4">
              <w:rPr>
                <w:webHidden/>
              </w:rPr>
              <w:fldChar w:fldCharType="separate"/>
            </w:r>
            <w:r w:rsidR="005916F4">
              <w:rPr>
                <w:webHidden/>
              </w:rPr>
              <w:t>23</w:t>
            </w:r>
            <w:r w:rsidR="005916F4">
              <w:rPr>
                <w:webHidden/>
              </w:rPr>
              <w:fldChar w:fldCharType="end"/>
            </w:r>
          </w:hyperlink>
        </w:p>
        <w:p w:rsidR="005916F4" w:rsidRDefault="00DD0E47">
          <w:pPr>
            <w:pStyle w:val="TOC2"/>
            <w:rPr>
              <w:sz w:val="22"/>
              <w:lang w:eastAsia="en-US"/>
            </w:rPr>
          </w:pPr>
          <w:hyperlink w:anchor="_Toc480368221" w:history="1">
            <w:r w:rsidR="005916F4" w:rsidRPr="00327B1F">
              <w:rPr>
                <w:rStyle w:val="Hyperlink"/>
              </w:rPr>
              <w:t>Requests for Reimbursement</w:t>
            </w:r>
            <w:r w:rsidR="005916F4">
              <w:rPr>
                <w:webHidden/>
              </w:rPr>
              <w:tab/>
            </w:r>
            <w:r w:rsidR="005916F4">
              <w:rPr>
                <w:webHidden/>
              </w:rPr>
              <w:fldChar w:fldCharType="begin"/>
            </w:r>
            <w:r w:rsidR="005916F4">
              <w:rPr>
                <w:webHidden/>
              </w:rPr>
              <w:instrText xml:space="preserve"> PAGEREF _Toc480368221 \h </w:instrText>
            </w:r>
            <w:r w:rsidR="005916F4">
              <w:rPr>
                <w:webHidden/>
              </w:rPr>
            </w:r>
            <w:r w:rsidR="005916F4">
              <w:rPr>
                <w:webHidden/>
              </w:rPr>
              <w:fldChar w:fldCharType="separate"/>
            </w:r>
            <w:r w:rsidR="005916F4">
              <w:rPr>
                <w:webHidden/>
              </w:rPr>
              <w:t>23</w:t>
            </w:r>
            <w:r w:rsidR="005916F4">
              <w:rPr>
                <w:webHidden/>
              </w:rPr>
              <w:fldChar w:fldCharType="end"/>
            </w:r>
          </w:hyperlink>
        </w:p>
        <w:p w:rsidR="005916F4" w:rsidRDefault="00DD0E47">
          <w:pPr>
            <w:pStyle w:val="TOC2"/>
            <w:rPr>
              <w:sz w:val="22"/>
              <w:lang w:eastAsia="en-US"/>
            </w:rPr>
          </w:pPr>
          <w:hyperlink w:anchor="_Toc480368222" w:history="1">
            <w:r w:rsidR="005916F4" w:rsidRPr="00327B1F">
              <w:rPr>
                <w:rStyle w:val="Hyperlink"/>
              </w:rPr>
              <w:t>Equipment Inventory</w:t>
            </w:r>
            <w:r w:rsidR="005916F4">
              <w:rPr>
                <w:webHidden/>
              </w:rPr>
              <w:tab/>
            </w:r>
            <w:r w:rsidR="005916F4">
              <w:rPr>
                <w:webHidden/>
              </w:rPr>
              <w:fldChar w:fldCharType="begin"/>
            </w:r>
            <w:r w:rsidR="005916F4">
              <w:rPr>
                <w:webHidden/>
              </w:rPr>
              <w:instrText xml:space="preserve"> PAGEREF _Toc480368222 \h </w:instrText>
            </w:r>
            <w:r w:rsidR="005916F4">
              <w:rPr>
                <w:webHidden/>
              </w:rPr>
            </w:r>
            <w:r w:rsidR="005916F4">
              <w:rPr>
                <w:webHidden/>
              </w:rPr>
              <w:fldChar w:fldCharType="separate"/>
            </w:r>
            <w:r w:rsidR="005916F4">
              <w:rPr>
                <w:webHidden/>
              </w:rPr>
              <w:t>24</w:t>
            </w:r>
            <w:r w:rsidR="005916F4">
              <w:rPr>
                <w:webHidden/>
              </w:rPr>
              <w:fldChar w:fldCharType="end"/>
            </w:r>
          </w:hyperlink>
        </w:p>
        <w:p w:rsidR="00A02029" w:rsidRPr="00665266" w:rsidRDefault="00A02029" w:rsidP="00665266">
          <w:pPr>
            <w:tabs>
              <w:tab w:val="right" w:leader="dot" w:pos="9360"/>
            </w:tabs>
          </w:pPr>
          <w:r w:rsidRPr="00665266">
            <w:rPr>
              <w:b/>
              <w:bCs/>
              <w:noProof/>
            </w:rPr>
            <w:fldChar w:fldCharType="end"/>
          </w:r>
        </w:p>
      </w:sdtContent>
    </w:sdt>
    <w:p w:rsidR="005067B1" w:rsidRPr="00665266" w:rsidRDefault="005067B1">
      <w:pPr>
        <w:spacing w:after="200" w:line="276" w:lineRule="auto"/>
        <w:jc w:val="left"/>
        <w:rPr>
          <w:rFonts w:eastAsiaTheme="majorEastAsia" w:cstheme="majorBidi"/>
          <w:b/>
          <w:bCs/>
          <w:color w:val="FFFFFF" w:themeColor="background1"/>
          <w:sz w:val="28"/>
          <w:szCs w:val="28"/>
        </w:rPr>
      </w:pPr>
      <w:r w:rsidRPr="00665266">
        <w:br w:type="page"/>
      </w:r>
    </w:p>
    <w:p w:rsidR="00DD7057" w:rsidRPr="00665266" w:rsidRDefault="00DD7057" w:rsidP="00152460">
      <w:pPr>
        <w:pStyle w:val="Heading1"/>
      </w:pPr>
      <w:bookmarkStart w:id="5" w:name="_Toc480368171"/>
      <w:r w:rsidRPr="00665266">
        <w:lastRenderedPageBreak/>
        <w:t>Overview</w:t>
      </w:r>
      <w:bookmarkEnd w:id="5"/>
    </w:p>
    <w:p w:rsidR="003F4E25" w:rsidRPr="00665266" w:rsidRDefault="00652BDE" w:rsidP="00F75E27">
      <w:pPr>
        <w:pStyle w:val="Default"/>
        <w:spacing w:after="120"/>
        <w:jc w:val="both"/>
        <w:rPr>
          <w:rFonts w:asciiTheme="minorHAnsi" w:hAnsiTheme="minorHAnsi" w:cs="Times New Roman"/>
          <w:color w:val="000000" w:themeColor="text1"/>
        </w:rPr>
      </w:pPr>
      <w:r w:rsidRPr="00665266">
        <w:rPr>
          <w:rFonts w:asciiTheme="minorHAnsi" w:hAnsiTheme="minorHAnsi" w:cs="Times New Roman"/>
          <w:color w:val="000000" w:themeColor="text1"/>
        </w:rPr>
        <w:t xml:space="preserve">The </w:t>
      </w:r>
      <w:r w:rsidR="00BD3EE3">
        <w:rPr>
          <w:rFonts w:asciiTheme="minorHAnsi" w:hAnsiTheme="minorHAnsi" w:cs="Times New Roman"/>
          <w:color w:val="000000" w:themeColor="text1"/>
        </w:rPr>
        <w:t>Emergency Management Performance Grant (</w:t>
      </w:r>
      <w:r w:rsidR="003F4E25" w:rsidRPr="00665266">
        <w:rPr>
          <w:rFonts w:asciiTheme="minorHAnsi" w:hAnsiTheme="minorHAnsi" w:cs="Times New Roman"/>
          <w:color w:val="000000" w:themeColor="text1"/>
        </w:rPr>
        <w:t>EMPG</w:t>
      </w:r>
      <w:r w:rsidR="00BD3EE3">
        <w:rPr>
          <w:rFonts w:asciiTheme="minorHAnsi" w:hAnsiTheme="minorHAnsi" w:cs="Times New Roman"/>
          <w:color w:val="000000" w:themeColor="text1"/>
        </w:rPr>
        <w:t>)</w:t>
      </w:r>
      <w:r w:rsidR="003F4E25" w:rsidRPr="00665266">
        <w:rPr>
          <w:rFonts w:asciiTheme="minorHAnsi" w:hAnsiTheme="minorHAnsi" w:cs="Times New Roman"/>
          <w:color w:val="000000" w:themeColor="text1"/>
        </w:rPr>
        <w:t xml:space="preserve"> Program support</w:t>
      </w:r>
      <w:r w:rsidRPr="00665266">
        <w:rPr>
          <w:rFonts w:asciiTheme="minorHAnsi" w:hAnsiTheme="minorHAnsi" w:cs="Times New Roman"/>
          <w:color w:val="000000" w:themeColor="text1"/>
        </w:rPr>
        <w:t>s building and maintaining</w:t>
      </w:r>
      <w:r w:rsidR="003F4E25" w:rsidRPr="00665266">
        <w:rPr>
          <w:rFonts w:asciiTheme="minorHAnsi" w:hAnsiTheme="minorHAnsi" w:cs="Times New Roman"/>
          <w:color w:val="000000" w:themeColor="text1"/>
        </w:rPr>
        <w:t xml:space="preserve"> a comprehensive, all-hazard</w:t>
      </w:r>
      <w:r w:rsidRPr="00665266">
        <w:rPr>
          <w:rFonts w:asciiTheme="minorHAnsi" w:hAnsiTheme="minorHAnsi" w:cs="Times New Roman"/>
          <w:color w:val="000000" w:themeColor="text1"/>
        </w:rPr>
        <w:t>s</w:t>
      </w:r>
      <w:r w:rsidR="003F4E25" w:rsidRPr="00665266">
        <w:rPr>
          <w:rFonts w:asciiTheme="minorHAnsi" w:hAnsiTheme="minorHAnsi" w:cs="Times New Roman"/>
          <w:color w:val="000000" w:themeColor="text1"/>
        </w:rPr>
        <w:t xml:space="preserve"> emergency preparedness system</w:t>
      </w:r>
      <w:r w:rsidRPr="00665266">
        <w:rPr>
          <w:rFonts w:asciiTheme="minorHAnsi" w:hAnsiTheme="minorHAnsi" w:cs="Times New Roman"/>
          <w:color w:val="000000" w:themeColor="text1"/>
        </w:rPr>
        <w:t xml:space="preserve">. This includes </w:t>
      </w:r>
      <w:r w:rsidR="003F4E25" w:rsidRPr="00665266">
        <w:rPr>
          <w:rFonts w:asciiTheme="minorHAnsi" w:hAnsiTheme="minorHAnsi" w:cs="Times New Roman"/>
          <w:color w:val="000000" w:themeColor="text1"/>
        </w:rPr>
        <w:t xml:space="preserve">assisting State and </w:t>
      </w:r>
      <w:r w:rsidR="00B0333E" w:rsidRPr="00665266">
        <w:rPr>
          <w:rFonts w:asciiTheme="minorHAnsi" w:hAnsiTheme="minorHAnsi" w:cs="Times New Roman"/>
          <w:color w:val="000000" w:themeColor="text1"/>
        </w:rPr>
        <w:t>l</w:t>
      </w:r>
      <w:r w:rsidR="003F4E25" w:rsidRPr="00665266">
        <w:rPr>
          <w:rFonts w:asciiTheme="minorHAnsi" w:hAnsiTheme="minorHAnsi" w:cs="Times New Roman"/>
          <w:color w:val="000000" w:themeColor="text1"/>
        </w:rPr>
        <w:t xml:space="preserve">ocal </w:t>
      </w:r>
      <w:r w:rsidR="00B0333E" w:rsidRPr="00665266">
        <w:rPr>
          <w:rFonts w:asciiTheme="minorHAnsi" w:hAnsiTheme="minorHAnsi" w:cs="Times New Roman"/>
          <w:color w:val="000000" w:themeColor="text1"/>
        </w:rPr>
        <w:t>g</w:t>
      </w:r>
      <w:r w:rsidR="003F4E25" w:rsidRPr="00665266">
        <w:rPr>
          <w:rFonts w:asciiTheme="minorHAnsi" w:hAnsiTheme="minorHAnsi" w:cs="Times New Roman"/>
          <w:color w:val="000000" w:themeColor="text1"/>
        </w:rPr>
        <w:t xml:space="preserve">overnments and other eligible agencies </w:t>
      </w:r>
      <w:r w:rsidRPr="00665266">
        <w:rPr>
          <w:rFonts w:asciiTheme="minorHAnsi" w:hAnsiTheme="minorHAnsi" w:cs="Times New Roman"/>
          <w:color w:val="000000" w:themeColor="text1"/>
        </w:rPr>
        <w:t xml:space="preserve">to </w:t>
      </w:r>
      <w:r w:rsidR="003F4E25" w:rsidRPr="00665266">
        <w:rPr>
          <w:rFonts w:asciiTheme="minorHAnsi" w:hAnsiTheme="minorHAnsi" w:cs="Times New Roman"/>
          <w:color w:val="000000" w:themeColor="text1"/>
        </w:rPr>
        <w:t xml:space="preserve">build and sustain the core capabilities </w:t>
      </w:r>
      <w:r w:rsidR="000D4F72" w:rsidRPr="00665266">
        <w:rPr>
          <w:rFonts w:asciiTheme="minorHAnsi" w:hAnsiTheme="minorHAnsi" w:cs="Times New Roman"/>
          <w:color w:val="000000" w:themeColor="text1"/>
        </w:rPr>
        <w:t>outline</w:t>
      </w:r>
      <w:r w:rsidR="003F4E25" w:rsidRPr="00665266">
        <w:rPr>
          <w:rFonts w:asciiTheme="minorHAnsi" w:hAnsiTheme="minorHAnsi" w:cs="Times New Roman"/>
          <w:color w:val="000000" w:themeColor="text1"/>
        </w:rPr>
        <w:t>d in the National Preparedness Goal (NPG). New Hampshire’s EMPG Program focuses on Planning, Organization</w:t>
      </w:r>
      <w:r w:rsidR="00382CFF" w:rsidRPr="00665266">
        <w:rPr>
          <w:rFonts w:asciiTheme="minorHAnsi" w:hAnsiTheme="minorHAnsi" w:cs="Times New Roman"/>
          <w:color w:val="000000" w:themeColor="text1"/>
        </w:rPr>
        <w:t>/Administrative</w:t>
      </w:r>
      <w:r w:rsidR="003F4E25" w:rsidRPr="00665266">
        <w:rPr>
          <w:rFonts w:asciiTheme="minorHAnsi" w:hAnsiTheme="minorHAnsi" w:cs="Times New Roman"/>
          <w:color w:val="000000" w:themeColor="text1"/>
        </w:rPr>
        <w:t xml:space="preserve"> (project-driven), Equipment, and Maintenance/Sustainment.</w:t>
      </w:r>
      <w:r w:rsidR="002956CA" w:rsidRPr="00665266">
        <w:rPr>
          <w:rFonts w:asciiTheme="minorHAnsi" w:hAnsiTheme="minorHAnsi" w:cs="Times New Roman"/>
          <w:color w:val="000000" w:themeColor="text1"/>
        </w:rPr>
        <w:t xml:space="preserve"> </w:t>
      </w:r>
    </w:p>
    <w:p w:rsidR="00652BDE" w:rsidRPr="00665266" w:rsidRDefault="003F4E25" w:rsidP="00F75E27">
      <w:pPr>
        <w:autoSpaceDE w:val="0"/>
        <w:autoSpaceDN w:val="0"/>
        <w:adjustRightInd w:val="0"/>
        <w:spacing w:after="120"/>
        <w:rPr>
          <w:i/>
          <w:color w:val="000000" w:themeColor="text1"/>
        </w:rPr>
      </w:pPr>
      <w:r w:rsidRPr="00665266">
        <w:rPr>
          <w:color w:val="000000" w:themeColor="text1"/>
        </w:rPr>
        <w:t>The Depart</w:t>
      </w:r>
      <w:r w:rsidR="002956CA" w:rsidRPr="00665266">
        <w:rPr>
          <w:color w:val="000000" w:themeColor="text1"/>
        </w:rPr>
        <w:t xml:space="preserve">ment of Homeland Security (DHS) </w:t>
      </w:r>
      <w:r w:rsidRPr="00665266">
        <w:rPr>
          <w:color w:val="000000" w:themeColor="text1"/>
        </w:rPr>
        <w:t xml:space="preserve">Federal Emergency Management Agency (FEMA) has identified an overarching </w:t>
      </w:r>
      <w:r w:rsidRPr="00665266">
        <w:rPr>
          <w:b/>
          <w:i/>
          <w:color w:val="000000" w:themeColor="text1"/>
        </w:rPr>
        <w:t xml:space="preserve">priority </w:t>
      </w:r>
      <w:r w:rsidRPr="00665266">
        <w:rPr>
          <w:color w:val="000000" w:themeColor="text1"/>
        </w:rPr>
        <w:t>for the EMPG Program:</w:t>
      </w:r>
      <w:r w:rsidR="00652BDE" w:rsidRPr="00665266">
        <w:rPr>
          <w:color w:val="000000" w:themeColor="text1"/>
        </w:rPr>
        <w:t xml:space="preserve"> </w:t>
      </w:r>
      <w:r w:rsidRPr="00665266">
        <w:rPr>
          <w:i/>
          <w:color w:val="000000" w:themeColor="text1"/>
        </w:rPr>
        <w:t xml:space="preserve">Supporting the implementation of the National Preparedness System. </w:t>
      </w:r>
    </w:p>
    <w:p w:rsidR="003F4E25" w:rsidRDefault="003F4E25" w:rsidP="00F75E27">
      <w:pPr>
        <w:autoSpaceDE w:val="0"/>
        <w:autoSpaceDN w:val="0"/>
        <w:adjustRightInd w:val="0"/>
        <w:spacing w:after="120"/>
        <w:rPr>
          <w:b/>
          <w:color w:val="000000" w:themeColor="text1"/>
        </w:rPr>
      </w:pPr>
      <w:r w:rsidRPr="00665266">
        <w:rPr>
          <w:color w:val="000000" w:themeColor="text1"/>
        </w:rPr>
        <w:t xml:space="preserve">The National Preparedness System </w:t>
      </w:r>
      <w:r w:rsidR="000D4F72" w:rsidRPr="00665266">
        <w:rPr>
          <w:color w:val="000000" w:themeColor="text1"/>
        </w:rPr>
        <w:t xml:space="preserve">(NPS) </w:t>
      </w:r>
      <w:r w:rsidRPr="00665266">
        <w:rPr>
          <w:color w:val="000000" w:themeColor="text1"/>
        </w:rPr>
        <w:t>is the instrument the Nation employs to build, sustain, and implement co</w:t>
      </w:r>
      <w:r w:rsidR="00665266">
        <w:rPr>
          <w:color w:val="000000" w:themeColor="text1"/>
        </w:rPr>
        <w:t>re capabilities to achieve the g</w:t>
      </w:r>
      <w:r w:rsidRPr="00665266">
        <w:rPr>
          <w:color w:val="000000" w:themeColor="text1"/>
        </w:rPr>
        <w:t xml:space="preserve">oal of a secure and resilient </w:t>
      </w:r>
      <w:r w:rsidR="00665266">
        <w:rPr>
          <w:color w:val="000000" w:themeColor="text1"/>
        </w:rPr>
        <w:t>n</w:t>
      </w:r>
      <w:r w:rsidRPr="00665266">
        <w:rPr>
          <w:color w:val="000000" w:themeColor="text1"/>
        </w:rPr>
        <w:t xml:space="preserve">ation. Complex and far-reaching threats and hazards require a collaborative and whole community approach to national preparedness that engages individuals, families, communities, private and nonprofit sectors, faith-based organizations, and all levels of government. The guidance, programs, processes, and systems that support each component of the </w:t>
      </w:r>
      <w:r w:rsidR="000D4F72" w:rsidRPr="00665266">
        <w:rPr>
          <w:color w:val="000000" w:themeColor="text1"/>
        </w:rPr>
        <w:t>NPS</w:t>
      </w:r>
      <w:r w:rsidRPr="00665266">
        <w:rPr>
          <w:color w:val="000000" w:themeColor="text1"/>
        </w:rPr>
        <w:t xml:space="preserve"> allow for the integration of preparedness efforts that build, sustain, and deliver core capabilities and achieve the desired outcomes identified in the Goal.</w:t>
      </w:r>
      <w:r w:rsidRPr="00665266">
        <w:rPr>
          <w:b/>
          <w:color w:val="000000" w:themeColor="text1"/>
        </w:rPr>
        <w:t xml:space="preserve"> </w:t>
      </w:r>
    </w:p>
    <w:p w:rsidR="009F4773" w:rsidRPr="000966B6" w:rsidRDefault="00812479" w:rsidP="00152460">
      <w:pPr>
        <w:pStyle w:val="Heading2"/>
      </w:pPr>
      <w:bookmarkStart w:id="6" w:name="_Toc480368172"/>
      <w:r>
        <w:t>Definitions</w:t>
      </w:r>
      <w:bookmarkEnd w:id="6"/>
    </w:p>
    <w:p w:rsidR="009F4773" w:rsidRPr="00A85114" w:rsidRDefault="00812479" w:rsidP="00A85114">
      <w:pPr>
        <w:autoSpaceDE w:val="0"/>
        <w:autoSpaceDN w:val="0"/>
        <w:adjustRightInd w:val="0"/>
        <w:spacing w:after="120"/>
        <w:rPr>
          <w:b/>
          <w:color w:val="000000" w:themeColor="text1"/>
        </w:rPr>
      </w:pPr>
      <w:r w:rsidRPr="00A85114">
        <w:rPr>
          <w:b/>
          <w:color w:val="000000" w:themeColor="text1"/>
        </w:rPr>
        <w:t xml:space="preserve">Applicant - </w:t>
      </w:r>
      <w:r w:rsidR="004C0871" w:rsidRPr="00A85114">
        <w:rPr>
          <w:rFonts w:cs="Arial"/>
          <w:iCs/>
          <w:color w:val="363636"/>
        </w:rPr>
        <w:t xml:space="preserve">An eligible </w:t>
      </w:r>
      <w:r w:rsidR="00830903" w:rsidRPr="00A85114">
        <w:rPr>
          <w:rFonts w:cs="Arial"/>
          <w:iCs/>
          <w:color w:val="363636"/>
        </w:rPr>
        <w:t xml:space="preserve">non-Federal entity that applies for funding under the EMPG Program. The entity is referred to as an </w:t>
      </w:r>
      <w:r w:rsidR="00830903" w:rsidRPr="00A85114">
        <w:rPr>
          <w:rFonts w:cs="Arial"/>
          <w:i/>
          <w:iCs/>
          <w:color w:val="363636"/>
        </w:rPr>
        <w:t>Applicant</w:t>
      </w:r>
      <w:r w:rsidR="00830903" w:rsidRPr="00A85114">
        <w:rPr>
          <w:rFonts w:cs="Arial"/>
          <w:iCs/>
          <w:color w:val="363636"/>
        </w:rPr>
        <w:t xml:space="preserve"> during the pre-award phase</w:t>
      </w:r>
      <w:r w:rsidR="00FE723D" w:rsidRPr="00A85114">
        <w:rPr>
          <w:rFonts w:cs="Arial"/>
          <w:iCs/>
          <w:color w:val="363636"/>
        </w:rPr>
        <w:t xml:space="preserve"> only and includes </w:t>
      </w:r>
      <w:r w:rsidR="002D2C5F" w:rsidRPr="00A85114">
        <w:rPr>
          <w:rFonts w:cs="Arial"/>
          <w:iCs/>
          <w:color w:val="363636"/>
        </w:rPr>
        <w:t>state and local governments</w:t>
      </w:r>
      <w:r w:rsidR="00FE723D" w:rsidRPr="00A85114">
        <w:rPr>
          <w:rFonts w:cs="Arial"/>
          <w:iCs/>
          <w:color w:val="363636"/>
        </w:rPr>
        <w:t xml:space="preserve">, </w:t>
      </w:r>
      <w:r w:rsidR="00A85114" w:rsidRPr="00A85114">
        <w:rPr>
          <w:rFonts w:cs="Arial"/>
          <w:iCs/>
          <w:color w:val="363636"/>
        </w:rPr>
        <w:t xml:space="preserve">educational facilities, and critical </w:t>
      </w:r>
      <w:r w:rsidR="00FE723D" w:rsidRPr="00A85114">
        <w:rPr>
          <w:rFonts w:cs="Arial"/>
          <w:iCs/>
          <w:color w:val="363636"/>
        </w:rPr>
        <w:t>non-</w:t>
      </w:r>
      <w:r w:rsidR="00A85114" w:rsidRPr="00A85114">
        <w:rPr>
          <w:rFonts w:cs="Arial"/>
          <w:iCs/>
          <w:color w:val="363636"/>
        </w:rPr>
        <w:t>profit agencies.</w:t>
      </w:r>
    </w:p>
    <w:p w:rsidR="00812479" w:rsidRPr="00BD3EE3" w:rsidRDefault="00812479" w:rsidP="00A85114">
      <w:pPr>
        <w:autoSpaceDE w:val="0"/>
        <w:autoSpaceDN w:val="0"/>
        <w:adjustRightInd w:val="0"/>
        <w:rPr>
          <w:b/>
          <w:color w:val="000000" w:themeColor="text1"/>
        </w:rPr>
      </w:pPr>
      <w:r w:rsidRPr="00A85114">
        <w:rPr>
          <w:b/>
          <w:color w:val="000000" w:themeColor="text1"/>
        </w:rPr>
        <w:t xml:space="preserve">Subrecipient - </w:t>
      </w:r>
      <w:r w:rsidR="00830903" w:rsidRPr="00A85114">
        <w:rPr>
          <w:rFonts w:eastAsiaTheme="minorHAnsi" w:cs="Cambria-Italic"/>
          <w:iCs/>
        </w:rPr>
        <w:t>A</w:t>
      </w:r>
      <w:r w:rsidRPr="00A85114">
        <w:rPr>
          <w:rFonts w:eastAsiaTheme="minorHAnsi" w:cs="Cambria-Italic"/>
          <w:iCs/>
        </w:rPr>
        <w:t xml:space="preserve"> non‐Fe</w:t>
      </w:r>
      <w:r w:rsidR="00830903" w:rsidRPr="00A85114">
        <w:rPr>
          <w:rFonts w:eastAsiaTheme="minorHAnsi" w:cs="Cambria-Italic"/>
          <w:iCs/>
        </w:rPr>
        <w:t xml:space="preserve">deral entity that </w:t>
      </w:r>
      <w:r w:rsidR="00A85114" w:rsidRPr="00A85114">
        <w:rPr>
          <w:rFonts w:eastAsiaTheme="minorHAnsi" w:cs="Cambria-Italic"/>
          <w:iCs/>
        </w:rPr>
        <w:t xml:space="preserve">is </w:t>
      </w:r>
      <w:r w:rsidR="00FE723D" w:rsidRPr="00A85114">
        <w:rPr>
          <w:rFonts w:eastAsiaTheme="minorHAnsi" w:cs="Cambria-Italic"/>
          <w:iCs/>
        </w:rPr>
        <w:t>provided an EMPG</w:t>
      </w:r>
      <w:r w:rsidR="00830903" w:rsidRPr="00A85114">
        <w:rPr>
          <w:rFonts w:eastAsiaTheme="minorHAnsi" w:cs="Cambria-Italic"/>
          <w:iCs/>
        </w:rPr>
        <w:t xml:space="preserve"> </w:t>
      </w:r>
      <w:r w:rsidRPr="00A85114">
        <w:rPr>
          <w:rFonts w:eastAsiaTheme="minorHAnsi" w:cs="Cambria-Italic"/>
          <w:iCs/>
        </w:rPr>
        <w:t xml:space="preserve">award from </w:t>
      </w:r>
      <w:r w:rsidR="00FE723D" w:rsidRPr="00A85114">
        <w:rPr>
          <w:rFonts w:eastAsiaTheme="minorHAnsi" w:cs="Cambria-Italic"/>
          <w:iCs/>
        </w:rPr>
        <w:t xml:space="preserve">HSEM, the </w:t>
      </w:r>
      <w:r w:rsidRPr="00A85114">
        <w:rPr>
          <w:rFonts w:eastAsiaTheme="minorHAnsi" w:cs="Cambria-Italic"/>
          <w:iCs/>
        </w:rPr>
        <w:t xml:space="preserve">pass‐through </w:t>
      </w:r>
      <w:r w:rsidR="00FE723D" w:rsidRPr="00A85114">
        <w:rPr>
          <w:rFonts w:eastAsiaTheme="minorHAnsi" w:cs="Cambria-Italic"/>
          <w:iCs/>
        </w:rPr>
        <w:t>entity, for their use in carrying out agreed-upon, eligible activities.</w:t>
      </w:r>
      <w:r w:rsidR="00FE723D">
        <w:rPr>
          <w:rFonts w:eastAsiaTheme="minorHAnsi" w:cs="Cambria-Italic"/>
          <w:iCs/>
        </w:rPr>
        <w:t xml:space="preserve"> </w:t>
      </w:r>
      <w:r>
        <w:rPr>
          <w:rFonts w:eastAsiaTheme="minorHAnsi" w:cs="Cambria-Italic"/>
          <w:iCs/>
        </w:rPr>
        <w:t xml:space="preserve"> </w:t>
      </w:r>
    </w:p>
    <w:p w:rsidR="00687AE8" w:rsidRPr="00665266" w:rsidRDefault="00CA7F62" w:rsidP="00152460">
      <w:pPr>
        <w:pStyle w:val="Heading2"/>
      </w:pPr>
      <w:bookmarkStart w:id="7" w:name="_Toc480368173"/>
      <w:r w:rsidRPr="00665266">
        <w:t>EMPG Application</w:t>
      </w:r>
      <w:bookmarkEnd w:id="7"/>
    </w:p>
    <w:p w:rsidR="00CA7F62" w:rsidRPr="00665266" w:rsidRDefault="009F4773" w:rsidP="00CA7F62">
      <w:pPr>
        <w:pStyle w:val="Default"/>
        <w:spacing w:after="120"/>
        <w:jc w:val="both"/>
        <w:rPr>
          <w:rFonts w:asciiTheme="minorHAnsi" w:hAnsiTheme="minorHAnsi"/>
        </w:rPr>
      </w:pPr>
      <w:r>
        <w:rPr>
          <w:rFonts w:asciiTheme="minorHAnsi" w:hAnsiTheme="minorHAnsi" w:cs="Times New Roman"/>
        </w:rPr>
        <w:t xml:space="preserve">Applicants </w:t>
      </w:r>
      <w:r w:rsidR="009B22CD" w:rsidRPr="00665266">
        <w:rPr>
          <w:rFonts w:asciiTheme="minorHAnsi" w:hAnsiTheme="minorHAnsi" w:cs="Times New Roman"/>
        </w:rPr>
        <w:t xml:space="preserve">are required to submit their project application(s) in HSEM’s online Resource Center. The application(s) submitted will identify all projects in detail. </w:t>
      </w:r>
      <w:r w:rsidR="00E00F71">
        <w:rPr>
          <w:rFonts w:asciiTheme="minorHAnsi" w:hAnsiTheme="minorHAnsi" w:cs="Times New Roman"/>
        </w:rPr>
        <w:t>R</w:t>
      </w:r>
      <w:r w:rsidR="00687AE8" w:rsidRPr="00665266">
        <w:rPr>
          <w:rFonts w:asciiTheme="minorHAnsi" w:hAnsiTheme="minorHAnsi" w:cs="Times New Roman"/>
        </w:rPr>
        <w:t xml:space="preserve">efer to the current </w:t>
      </w:r>
      <w:r w:rsidR="00687AE8" w:rsidRPr="00665266">
        <w:rPr>
          <w:rFonts w:asciiTheme="minorHAnsi" w:hAnsiTheme="minorHAnsi" w:cs="Times New Roman"/>
          <w:b/>
          <w:i/>
        </w:rPr>
        <w:t>EMPG Quick Reference Guide</w:t>
      </w:r>
      <w:r w:rsidR="00687AE8" w:rsidRPr="00665266">
        <w:rPr>
          <w:rFonts w:asciiTheme="minorHAnsi" w:hAnsiTheme="minorHAnsi" w:cs="Times New Roman"/>
        </w:rPr>
        <w:t xml:space="preserve"> for a checklist of information required </w:t>
      </w:r>
      <w:r w:rsidR="009B22CD" w:rsidRPr="00665266">
        <w:rPr>
          <w:rFonts w:asciiTheme="minorHAnsi" w:hAnsiTheme="minorHAnsi" w:cs="Times New Roman"/>
        </w:rPr>
        <w:t>at time of a</w:t>
      </w:r>
      <w:r w:rsidR="00687AE8" w:rsidRPr="00665266">
        <w:rPr>
          <w:rFonts w:asciiTheme="minorHAnsi" w:hAnsiTheme="minorHAnsi" w:cs="Times New Roman"/>
        </w:rPr>
        <w:t>pplication:</w:t>
      </w:r>
      <w:r w:rsidR="002956CA" w:rsidRPr="00665266">
        <w:rPr>
          <w:rFonts w:asciiTheme="minorHAnsi" w:hAnsiTheme="minorHAnsi" w:cs="Times New Roman"/>
        </w:rPr>
        <w:t xml:space="preserve"> </w:t>
      </w:r>
      <w:hyperlink r:id="rId15" w:history="1">
        <w:r w:rsidR="00687AE8" w:rsidRPr="00665266">
          <w:rPr>
            <w:rStyle w:val="Hyperlink"/>
            <w:rFonts w:asciiTheme="minorHAnsi" w:hAnsiTheme="minorHAnsi" w:cs="Times New Roman"/>
          </w:rPr>
          <w:t>https://apps.nh.gov/blogs/hsem/?page_id=671</w:t>
        </w:r>
      </w:hyperlink>
      <w:r>
        <w:rPr>
          <w:rStyle w:val="Hyperlink"/>
          <w:rFonts w:asciiTheme="minorHAnsi" w:hAnsiTheme="minorHAnsi" w:cs="Times New Roman"/>
        </w:rPr>
        <w:t>.</w:t>
      </w:r>
      <w:r w:rsidR="00687AE8" w:rsidRPr="00665266">
        <w:rPr>
          <w:rFonts w:asciiTheme="minorHAnsi" w:hAnsiTheme="minorHAnsi" w:cs="Times New Roman"/>
        </w:rPr>
        <w:t xml:space="preserve"> </w:t>
      </w:r>
      <w:r w:rsidR="00CA7F62" w:rsidRPr="00665266">
        <w:rPr>
          <w:rFonts w:asciiTheme="minorHAnsi" w:hAnsiTheme="minorHAnsi" w:cs="Times New Roman"/>
        </w:rPr>
        <w:t xml:space="preserve">The online </w:t>
      </w:r>
      <w:r w:rsidR="009B22CD" w:rsidRPr="00665266">
        <w:rPr>
          <w:rFonts w:asciiTheme="minorHAnsi" w:hAnsiTheme="minorHAnsi" w:cs="Times New Roman"/>
          <w:b/>
        </w:rPr>
        <w:t>EMPG A</w:t>
      </w:r>
      <w:r w:rsidR="00CA7F62" w:rsidRPr="00665266">
        <w:rPr>
          <w:rFonts w:asciiTheme="minorHAnsi" w:hAnsiTheme="minorHAnsi" w:cs="Times New Roman"/>
          <w:b/>
        </w:rPr>
        <w:t>pplication</w:t>
      </w:r>
      <w:r w:rsidR="00CA7F62" w:rsidRPr="00665266">
        <w:rPr>
          <w:rFonts w:asciiTheme="minorHAnsi" w:hAnsiTheme="minorHAnsi" w:cs="Times New Roman"/>
        </w:rPr>
        <w:t xml:space="preserve"> is </w:t>
      </w:r>
      <w:r w:rsidR="00A85114">
        <w:rPr>
          <w:rFonts w:asciiTheme="minorHAnsi" w:hAnsiTheme="minorHAnsi" w:cs="Times New Roman"/>
        </w:rPr>
        <w:t>located</w:t>
      </w:r>
      <w:r w:rsidR="00CA7F62" w:rsidRPr="00665266">
        <w:rPr>
          <w:rFonts w:asciiTheme="minorHAnsi" w:hAnsiTheme="minorHAnsi" w:cs="Times New Roman"/>
        </w:rPr>
        <w:t xml:space="preserve"> at </w:t>
      </w:r>
      <w:hyperlink r:id="rId16" w:history="1">
        <w:r w:rsidR="00CA7F62" w:rsidRPr="00665266">
          <w:rPr>
            <w:rStyle w:val="Hyperlink"/>
            <w:rFonts w:asciiTheme="minorHAnsi" w:hAnsiTheme="minorHAnsi"/>
          </w:rPr>
          <w:t>https://apps.nh.gov/blogs/hsem/?page_id=225</w:t>
        </w:r>
      </w:hyperlink>
      <w:r w:rsidR="00CA7F62" w:rsidRPr="00665266">
        <w:rPr>
          <w:rFonts w:asciiTheme="minorHAnsi" w:hAnsiTheme="minorHAnsi"/>
        </w:rPr>
        <w:t xml:space="preserve"> </w:t>
      </w:r>
      <w:r w:rsidR="00A85114">
        <w:rPr>
          <w:rFonts w:asciiTheme="minorHAnsi" w:hAnsiTheme="minorHAnsi"/>
        </w:rPr>
        <w:t xml:space="preserve">and is available year round. </w:t>
      </w:r>
      <w:r w:rsidR="00187D36">
        <w:rPr>
          <w:rFonts w:asciiTheme="minorHAnsi" w:hAnsiTheme="minorHAnsi"/>
        </w:rPr>
        <w:t xml:space="preserve"> Should you not have the ability to apply online, an HSEM Field Representative is available to assist you. </w:t>
      </w:r>
    </w:p>
    <w:p w:rsidR="00DD7057" w:rsidRPr="00665266" w:rsidRDefault="00DD7057" w:rsidP="00152460">
      <w:pPr>
        <w:pStyle w:val="Heading2"/>
      </w:pPr>
      <w:bookmarkStart w:id="8" w:name="_Toc480368174"/>
      <w:r w:rsidRPr="00665266">
        <w:t>Application Review</w:t>
      </w:r>
      <w:bookmarkEnd w:id="8"/>
    </w:p>
    <w:p w:rsidR="00DD7057" w:rsidRPr="00665266" w:rsidRDefault="00DD7057" w:rsidP="00DD7057">
      <w:pPr>
        <w:autoSpaceDE w:val="0"/>
        <w:autoSpaceDN w:val="0"/>
        <w:adjustRightInd w:val="0"/>
        <w:spacing w:after="120"/>
      </w:pPr>
      <w:r w:rsidRPr="00665266">
        <w:t xml:space="preserve">Completed applications are initially assessed by HSEM </w:t>
      </w:r>
      <w:r w:rsidR="00665266">
        <w:t>F</w:t>
      </w:r>
      <w:r w:rsidR="00277C7B" w:rsidRPr="00665266">
        <w:t xml:space="preserve">ield </w:t>
      </w:r>
      <w:r w:rsidR="00665266">
        <w:t>Representatives</w:t>
      </w:r>
      <w:r w:rsidR="00277C7B" w:rsidRPr="00665266">
        <w:t xml:space="preserve"> and then</w:t>
      </w:r>
      <w:r w:rsidR="00665266">
        <w:t xml:space="preserve"> by</w:t>
      </w:r>
      <w:r w:rsidR="00277C7B" w:rsidRPr="00665266">
        <w:t xml:space="preserve"> the EMPG Program Coordinator</w:t>
      </w:r>
      <w:r w:rsidRPr="00665266">
        <w:t>. Some applications may require an additional review by committee, according to internally established thresholds. This review takes place month</w:t>
      </w:r>
      <w:r w:rsidR="007C5D65">
        <w:t>ly,</w:t>
      </w:r>
      <w:r w:rsidRPr="00665266">
        <w:t xml:space="preserve"> or as needed. The </w:t>
      </w:r>
      <w:r w:rsidR="007C5D65">
        <w:t>EMPG Review C</w:t>
      </w:r>
      <w:r w:rsidRPr="00665266">
        <w:t>ommittee consists of representatives from HSEM as well as external subject matter expects, as applicable to the type of submitted projects.</w:t>
      </w:r>
      <w:r w:rsidR="002956CA" w:rsidRPr="00665266">
        <w:t xml:space="preserve"> </w:t>
      </w:r>
      <w:r w:rsidR="005A74AB" w:rsidRPr="00665266">
        <w:t xml:space="preserve"> The merits of the application will include, but not necessarily limited to:</w:t>
      </w:r>
    </w:p>
    <w:p w:rsidR="005A74AB" w:rsidRPr="00665266" w:rsidRDefault="001572EC" w:rsidP="002D0559">
      <w:pPr>
        <w:pStyle w:val="ListParagraph"/>
        <w:numPr>
          <w:ilvl w:val="0"/>
          <w:numId w:val="29"/>
        </w:numPr>
        <w:autoSpaceDE w:val="0"/>
        <w:autoSpaceDN w:val="0"/>
        <w:adjustRightInd w:val="0"/>
        <w:spacing w:after="120"/>
        <w:rPr>
          <w:sz w:val="24"/>
          <w:szCs w:val="24"/>
        </w:rPr>
      </w:pPr>
      <w:r w:rsidRPr="00665266">
        <w:rPr>
          <w:sz w:val="24"/>
          <w:szCs w:val="24"/>
        </w:rPr>
        <w:lastRenderedPageBreak/>
        <w:t>T</w:t>
      </w:r>
      <w:r w:rsidR="002D0559" w:rsidRPr="00665266">
        <w:rPr>
          <w:sz w:val="24"/>
          <w:szCs w:val="24"/>
        </w:rPr>
        <w:t>he project support</w:t>
      </w:r>
      <w:r w:rsidRPr="00665266">
        <w:rPr>
          <w:sz w:val="24"/>
          <w:szCs w:val="24"/>
        </w:rPr>
        <w:t>s</w:t>
      </w:r>
      <w:r w:rsidR="002D0559" w:rsidRPr="00665266">
        <w:rPr>
          <w:sz w:val="24"/>
          <w:szCs w:val="24"/>
        </w:rPr>
        <w:t xml:space="preserve"> and align</w:t>
      </w:r>
      <w:r w:rsidRPr="00665266">
        <w:rPr>
          <w:sz w:val="24"/>
          <w:szCs w:val="24"/>
        </w:rPr>
        <w:t>s</w:t>
      </w:r>
      <w:r w:rsidR="002D0559" w:rsidRPr="00665266">
        <w:rPr>
          <w:sz w:val="24"/>
          <w:szCs w:val="24"/>
        </w:rPr>
        <w:t xml:space="preserve"> with the National Preparedness Goal (NPG)</w:t>
      </w:r>
      <w:r w:rsidR="00753E3A" w:rsidRPr="00665266">
        <w:rPr>
          <w:sz w:val="24"/>
          <w:szCs w:val="24"/>
        </w:rPr>
        <w:t>;</w:t>
      </w:r>
    </w:p>
    <w:p w:rsidR="002D0559" w:rsidRPr="00665266" w:rsidRDefault="001572EC" w:rsidP="002D0559">
      <w:pPr>
        <w:pStyle w:val="ListParagraph"/>
        <w:numPr>
          <w:ilvl w:val="0"/>
          <w:numId w:val="29"/>
        </w:numPr>
        <w:autoSpaceDE w:val="0"/>
        <w:autoSpaceDN w:val="0"/>
        <w:adjustRightInd w:val="0"/>
        <w:spacing w:after="120"/>
        <w:rPr>
          <w:sz w:val="24"/>
          <w:szCs w:val="24"/>
        </w:rPr>
      </w:pPr>
      <w:r w:rsidRPr="00665266">
        <w:rPr>
          <w:sz w:val="24"/>
          <w:szCs w:val="24"/>
        </w:rPr>
        <w:t xml:space="preserve">The project enhances </w:t>
      </w:r>
      <w:r w:rsidR="002D0559" w:rsidRPr="00665266">
        <w:rPr>
          <w:sz w:val="24"/>
          <w:szCs w:val="24"/>
        </w:rPr>
        <w:t xml:space="preserve">the </w:t>
      </w:r>
      <w:r w:rsidR="000E1DF5">
        <w:rPr>
          <w:sz w:val="24"/>
          <w:szCs w:val="24"/>
        </w:rPr>
        <w:t>Subrecipient</w:t>
      </w:r>
      <w:r w:rsidR="002D0559" w:rsidRPr="00665266">
        <w:rPr>
          <w:sz w:val="24"/>
          <w:szCs w:val="24"/>
        </w:rPr>
        <w:t xml:space="preserve">'s emergency management capabilities based on the threats </w:t>
      </w:r>
      <w:r w:rsidRPr="00665266">
        <w:rPr>
          <w:sz w:val="24"/>
          <w:szCs w:val="24"/>
        </w:rPr>
        <w:t>and hazards</w:t>
      </w:r>
      <w:r w:rsidR="002D0559" w:rsidRPr="00665266">
        <w:rPr>
          <w:sz w:val="24"/>
          <w:szCs w:val="24"/>
        </w:rPr>
        <w:t xml:space="preserve"> that are most relevant now and in the future to their community/agency</w:t>
      </w:r>
      <w:r w:rsidR="00753E3A" w:rsidRPr="00665266">
        <w:rPr>
          <w:sz w:val="24"/>
          <w:szCs w:val="24"/>
        </w:rPr>
        <w:t>;</w:t>
      </w:r>
    </w:p>
    <w:p w:rsidR="002D0559" w:rsidRPr="00665266" w:rsidRDefault="002D0559" w:rsidP="002D0559">
      <w:pPr>
        <w:pStyle w:val="ListParagraph"/>
        <w:numPr>
          <w:ilvl w:val="0"/>
          <w:numId w:val="29"/>
        </w:numPr>
        <w:autoSpaceDE w:val="0"/>
        <w:autoSpaceDN w:val="0"/>
        <w:adjustRightInd w:val="0"/>
        <w:spacing w:after="120"/>
        <w:rPr>
          <w:sz w:val="24"/>
          <w:szCs w:val="24"/>
        </w:rPr>
      </w:pPr>
      <w:r w:rsidRPr="00665266">
        <w:rPr>
          <w:sz w:val="24"/>
          <w:szCs w:val="24"/>
        </w:rPr>
        <w:t>The project is not for everyday use and is primarily for enhancing emergency management capabilities</w:t>
      </w:r>
      <w:r w:rsidR="00753E3A" w:rsidRPr="00665266">
        <w:rPr>
          <w:sz w:val="24"/>
          <w:szCs w:val="24"/>
        </w:rPr>
        <w:t>;</w:t>
      </w:r>
    </w:p>
    <w:p w:rsidR="002D0559" w:rsidRPr="00665266" w:rsidRDefault="001572EC" w:rsidP="002D0559">
      <w:pPr>
        <w:pStyle w:val="ListParagraph"/>
        <w:numPr>
          <w:ilvl w:val="0"/>
          <w:numId w:val="29"/>
        </w:numPr>
        <w:autoSpaceDE w:val="0"/>
        <w:autoSpaceDN w:val="0"/>
        <w:adjustRightInd w:val="0"/>
        <w:spacing w:after="120"/>
        <w:rPr>
          <w:sz w:val="24"/>
          <w:szCs w:val="24"/>
        </w:rPr>
      </w:pPr>
      <w:r w:rsidRPr="00665266">
        <w:rPr>
          <w:sz w:val="24"/>
          <w:szCs w:val="24"/>
        </w:rPr>
        <w:t xml:space="preserve">The </w:t>
      </w:r>
      <w:r w:rsidR="002D0559" w:rsidRPr="00665266">
        <w:rPr>
          <w:sz w:val="24"/>
          <w:szCs w:val="24"/>
        </w:rPr>
        <w:t xml:space="preserve">project </w:t>
      </w:r>
      <w:r w:rsidRPr="00665266">
        <w:rPr>
          <w:sz w:val="24"/>
          <w:szCs w:val="24"/>
        </w:rPr>
        <w:t xml:space="preserve">is </w:t>
      </w:r>
      <w:r w:rsidR="002D0559" w:rsidRPr="00665266">
        <w:rPr>
          <w:sz w:val="24"/>
          <w:szCs w:val="24"/>
        </w:rPr>
        <w:t>technically feasible</w:t>
      </w:r>
      <w:r w:rsidR="00753E3A" w:rsidRPr="00665266">
        <w:rPr>
          <w:sz w:val="24"/>
          <w:szCs w:val="24"/>
        </w:rPr>
        <w:t>;</w:t>
      </w:r>
    </w:p>
    <w:p w:rsidR="002D0559" w:rsidRPr="00665266" w:rsidRDefault="002D0559" w:rsidP="002D0559">
      <w:pPr>
        <w:pStyle w:val="ListParagraph"/>
        <w:numPr>
          <w:ilvl w:val="0"/>
          <w:numId w:val="29"/>
        </w:numPr>
        <w:autoSpaceDE w:val="0"/>
        <w:autoSpaceDN w:val="0"/>
        <w:adjustRightInd w:val="0"/>
        <w:spacing w:after="120"/>
        <w:rPr>
          <w:sz w:val="24"/>
          <w:szCs w:val="24"/>
        </w:rPr>
      </w:pPr>
      <w:r w:rsidRPr="00665266">
        <w:rPr>
          <w:sz w:val="24"/>
          <w:szCs w:val="24"/>
        </w:rPr>
        <w:t>The match identified in the application relates to the project and is verifiable</w:t>
      </w:r>
      <w:r w:rsidR="001572EC" w:rsidRPr="00665266">
        <w:rPr>
          <w:sz w:val="24"/>
          <w:szCs w:val="24"/>
        </w:rPr>
        <w:t>, reasonable, allowable</w:t>
      </w:r>
      <w:r w:rsidRPr="00665266">
        <w:rPr>
          <w:sz w:val="24"/>
          <w:szCs w:val="24"/>
        </w:rPr>
        <w:t>, and necessary</w:t>
      </w:r>
      <w:r w:rsidR="00753E3A" w:rsidRPr="00665266">
        <w:rPr>
          <w:sz w:val="24"/>
          <w:szCs w:val="24"/>
        </w:rPr>
        <w:t>;</w:t>
      </w:r>
    </w:p>
    <w:p w:rsidR="002D0559" w:rsidRPr="00665266" w:rsidRDefault="001572EC" w:rsidP="002D0559">
      <w:pPr>
        <w:pStyle w:val="ListParagraph"/>
        <w:numPr>
          <w:ilvl w:val="0"/>
          <w:numId w:val="29"/>
        </w:numPr>
        <w:autoSpaceDE w:val="0"/>
        <w:autoSpaceDN w:val="0"/>
        <w:adjustRightInd w:val="0"/>
        <w:spacing w:after="120"/>
        <w:rPr>
          <w:sz w:val="24"/>
          <w:szCs w:val="24"/>
        </w:rPr>
      </w:pPr>
      <w:r w:rsidRPr="00665266">
        <w:rPr>
          <w:sz w:val="24"/>
          <w:szCs w:val="24"/>
        </w:rPr>
        <w:t>The application demonstrates</w:t>
      </w:r>
      <w:r w:rsidR="002D0559" w:rsidRPr="00665266">
        <w:rPr>
          <w:sz w:val="24"/>
          <w:szCs w:val="24"/>
        </w:rPr>
        <w:t xml:space="preserve"> clearly defined and well-planned milestones which show the project can be completed within the performance period for the grant</w:t>
      </w:r>
      <w:r w:rsidR="00753E3A" w:rsidRPr="00665266">
        <w:rPr>
          <w:sz w:val="24"/>
          <w:szCs w:val="24"/>
        </w:rPr>
        <w:t>;</w:t>
      </w:r>
    </w:p>
    <w:p w:rsidR="002D0559" w:rsidRPr="00665266" w:rsidRDefault="002D0559" w:rsidP="002D0559">
      <w:pPr>
        <w:pStyle w:val="ListParagraph"/>
        <w:numPr>
          <w:ilvl w:val="0"/>
          <w:numId w:val="29"/>
        </w:numPr>
        <w:autoSpaceDE w:val="0"/>
        <w:autoSpaceDN w:val="0"/>
        <w:adjustRightInd w:val="0"/>
        <w:spacing w:after="120"/>
        <w:rPr>
          <w:sz w:val="24"/>
          <w:szCs w:val="24"/>
        </w:rPr>
      </w:pPr>
      <w:r w:rsidRPr="00665266">
        <w:rPr>
          <w:sz w:val="24"/>
          <w:szCs w:val="24"/>
        </w:rPr>
        <w:t>The cost of this project is reasonable for the project type</w:t>
      </w:r>
      <w:r w:rsidR="00753E3A" w:rsidRPr="00665266">
        <w:rPr>
          <w:sz w:val="24"/>
          <w:szCs w:val="24"/>
        </w:rPr>
        <w:t>;</w:t>
      </w:r>
    </w:p>
    <w:p w:rsidR="002D0559" w:rsidRPr="00665266" w:rsidRDefault="001572EC" w:rsidP="001572EC">
      <w:pPr>
        <w:pStyle w:val="ListParagraph"/>
        <w:numPr>
          <w:ilvl w:val="0"/>
          <w:numId w:val="29"/>
        </w:numPr>
        <w:autoSpaceDE w:val="0"/>
        <w:autoSpaceDN w:val="0"/>
        <w:adjustRightInd w:val="0"/>
        <w:spacing w:after="120"/>
        <w:rPr>
          <w:sz w:val="24"/>
          <w:szCs w:val="24"/>
        </w:rPr>
      </w:pPr>
      <w:r w:rsidRPr="00665266">
        <w:rPr>
          <w:sz w:val="24"/>
          <w:szCs w:val="24"/>
        </w:rPr>
        <w:t xml:space="preserve">The project is a high priority/immediate need for the </w:t>
      </w:r>
      <w:r w:rsidR="000E1DF5">
        <w:rPr>
          <w:sz w:val="24"/>
          <w:szCs w:val="24"/>
        </w:rPr>
        <w:t>Subrecipient</w:t>
      </w:r>
      <w:r w:rsidR="00753E3A" w:rsidRPr="00665266">
        <w:rPr>
          <w:sz w:val="24"/>
          <w:szCs w:val="24"/>
        </w:rPr>
        <w:t>;</w:t>
      </w:r>
    </w:p>
    <w:p w:rsidR="001572EC" w:rsidRPr="00665266" w:rsidRDefault="001572EC" w:rsidP="001572EC">
      <w:pPr>
        <w:pStyle w:val="ListParagraph"/>
        <w:numPr>
          <w:ilvl w:val="0"/>
          <w:numId w:val="29"/>
        </w:numPr>
        <w:autoSpaceDE w:val="0"/>
        <w:autoSpaceDN w:val="0"/>
        <w:adjustRightInd w:val="0"/>
        <w:spacing w:after="120"/>
        <w:rPr>
          <w:sz w:val="24"/>
          <w:szCs w:val="24"/>
        </w:rPr>
      </w:pPr>
      <w:r w:rsidRPr="00665266">
        <w:rPr>
          <w:sz w:val="24"/>
          <w:szCs w:val="24"/>
        </w:rPr>
        <w:t>The useful life (longevity) of the project is identified and sustainable</w:t>
      </w:r>
      <w:r w:rsidR="00753E3A" w:rsidRPr="00665266">
        <w:rPr>
          <w:sz w:val="24"/>
          <w:szCs w:val="24"/>
        </w:rPr>
        <w:t>;</w:t>
      </w:r>
      <w:r w:rsidRPr="00665266">
        <w:rPr>
          <w:sz w:val="24"/>
          <w:szCs w:val="24"/>
        </w:rPr>
        <w:t xml:space="preserve"> </w:t>
      </w:r>
    </w:p>
    <w:p w:rsidR="001572EC" w:rsidRPr="00665266" w:rsidRDefault="007C5D65" w:rsidP="001572EC">
      <w:pPr>
        <w:pStyle w:val="ListParagraph"/>
        <w:numPr>
          <w:ilvl w:val="0"/>
          <w:numId w:val="29"/>
        </w:numPr>
        <w:autoSpaceDE w:val="0"/>
        <w:autoSpaceDN w:val="0"/>
        <w:adjustRightInd w:val="0"/>
        <w:spacing w:after="120"/>
        <w:rPr>
          <w:sz w:val="24"/>
          <w:szCs w:val="24"/>
        </w:rPr>
      </w:pPr>
      <w:r>
        <w:rPr>
          <w:sz w:val="24"/>
          <w:szCs w:val="24"/>
        </w:rPr>
        <w:t>The p</w:t>
      </w:r>
      <w:r w:rsidR="001572EC" w:rsidRPr="00665266">
        <w:rPr>
          <w:sz w:val="24"/>
          <w:szCs w:val="24"/>
        </w:rPr>
        <w:t>roject fits within NH’s identified priorities.</w:t>
      </w:r>
    </w:p>
    <w:p w:rsidR="004B6F33" w:rsidRPr="00665266" w:rsidRDefault="004B6F33" w:rsidP="00152460">
      <w:pPr>
        <w:pStyle w:val="Heading2"/>
      </w:pPr>
      <w:bookmarkStart w:id="9" w:name="_Toc480368175"/>
      <w:r w:rsidRPr="00665266">
        <w:t>Grant Agreement</w:t>
      </w:r>
      <w:bookmarkEnd w:id="9"/>
    </w:p>
    <w:p w:rsidR="004B6F33" w:rsidRPr="00665266" w:rsidRDefault="004B6F33" w:rsidP="00DD7057">
      <w:pPr>
        <w:autoSpaceDE w:val="0"/>
        <w:autoSpaceDN w:val="0"/>
        <w:adjustRightInd w:val="0"/>
        <w:spacing w:after="120"/>
      </w:pPr>
      <w:r w:rsidRPr="00665266">
        <w:t>A grant agreement is required to be executed for each grant award.</w:t>
      </w:r>
      <w:r w:rsidR="002956CA" w:rsidRPr="00665266">
        <w:t xml:space="preserve"> </w:t>
      </w:r>
      <w:r w:rsidRPr="00665266">
        <w:t xml:space="preserve">This is a legally binding agreement between the </w:t>
      </w:r>
      <w:r w:rsidR="000E1DF5">
        <w:t>Subrecipient</w:t>
      </w:r>
      <w:r w:rsidRPr="00665266">
        <w:t xml:space="preserve"> and the State of New Hampshire.</w:t>
      </w:r>
      <w:r w:rsidR="002956CA" w:rsidRPr="00665266">
        <w:t xml:space="preserve"> </w:t>
      </w:r>
      <w:r w:rsidRPr="00665266">
        <w:t xml:space="preserve">The agreement contains general terms and conditions, scope of </w:t>
      </w:r>
      <w:r w:rsidR="005A74AB" w:rsidRPr="00665266">
        <w:t>services</w:t>
      </w:r>
      <w:r w:rsidRPr="00665266">
        <w:t>, grant expiration date, reporting requirements,</w:t>
      </w:r>
      <w:r w:rsidR="005A74AB" w:rsidRPr="00665266">
        <w:t xml:space="preserve"> grant amount and</w:t>
      </w:r>
      <w:r w:rsidRPr="00665266">
        <w:t xml:space="preserve"> payment method, </w:t>
      </w:r>
      <w:r w:rsidR="005A74AB" w:rsidRPr="00665266">
        <w:t xml:space="preserve">as well as any special provisions. Any changes in the original scope of work </w:t>
      </w:r>
      <w:r w:rsidR="005A74AB" w:rsidRPr="00B90BC2">
        <w:rPr>
          <w:b/>
          <w:i/>
          <w:u w:val="single"/>
        </w:rPr>
        <w:t>must</w:t>
      </w:r>
      <w:r w:rsidR="005A74AB" w:rsidRPr="00665266">
        <w:t xml:space="preserve"> have prior approval</w:t>
      </w:r>
      <w:r w:rsidR="002D2C5F">
        <w:t xml:space="preserve"> of the EMPG Program Manager.</w:t>
      </w:r>
      <w:r w:rsidR="005A74AB" w:rsidRPr="00665266">
        <w:t xml:space="preserve"> </w:t>
      </w:r>
      <w:r w:rsidR="008249D7" w:rsidRPr="00665266">
        <w:t xml:space="preserve">Once the executed grant agreement is </w:t>
      </w:r>
      <w:r w:rsidR="008249D7">
        <w:t xml:space="preserve">returned to </w:t>
      </w:r>
      <w:r w:rsidR="008249D7" w:rsidRPr="00665266">
        <w:t>HSEM, it may take another 1-2 months for review and fin</w:t>
      </w:r>
      <w:r w:rsidR="00A85114">
        <w:t xml:space="preserve">al decision/approval to be made.  Please refer to </w:t>
      </w:r>
      <w:r w:rsidR="00A85114" w:rsidRPr="001523E9">
        <w:rPr>
          <w:i/>
        </w:rPr>
        <w:t>Scope of Work Changes</w:t>
      </w:r>
      <w:r w:rsidR="00A85114">
        <w:t>, under the Grant Compliance Requirements</w:t>
      </w:r>
      <w:r w:rsidR="001523E9">
        <w:t xml:space="preserve"> section for additional instructions</w:t>
      </w:r>
      <w:r w:rsidR="00A85114">
        <w:t xml:space="preserve">. </w:t>
      </w:r>
    </w:p>
    <w:p w:rsidR="00DD7057" w:rsidRPr="00665266" w:rsidRDefault="00DD7057" w:rsidP="00152460">
      <w:pPr>
        <w:pStyle w:val="Heading2"/>
      </w:pPr>
      <w:bookmarkStart w:id="10" w:name="_Toc480368176"/>
      <w:r w:rsidRPr="00665266">
        <w:t>Period of Performance</w:t>
      </w:r>
      <w:bookmarkEnd w:id="10"/>
    </w:p>
    <w:p w:rsidR="00DD7057" w:rsidRPr="00665266" w:rsidRDefault="00DD7057" w:rsidP="00DD7057">
      <w:pPr>
        <w:autoSpaceDE w:val="0"/>
        <w:autoSpaceDN w:val="0"/>
        <w:adjustRightInd w:val="0"/>
        <w:spacing w:after="120"/>
        <w:rPr>
          <w:b/>
        </w:rPr>
      </w:pPr>
      <w:r w:rsidRPr="00665266">
        <w:t>The period of performance for current EMPG awards end</w:t>
      </w:r>
      <w:r w:rsidR="008249D7">
        <w:t>s</w:t>
      </w:r>
      <w:r w:rsidRPr="00665266">
        <w:t xml:space="preserve"> </w:t>
      </w:r>
      <w:r w:rsidRPr="00665266">
        <w:rPr>
          <w:b/>
          <w:color w:val="C00000"/>
        </w:rPr>
        <w:t>September 30, 201</w:t>
      </w:r>
      <w:r w:rsidR="00F17605" w:rsidRPr="00665266">
        <w:rPr>
          <w:b/>
          <w:color w:val="C00000"/>
        </w:rPr>
        <w:t>8</w:t>
      </w:r>
      <w:r w:rsidRPr="00665266">
        <w:t xml:space="preserve">. </w:t>
      </w:r>
      <w:r w:rsidR="008E3906">
        <w:t xml:space="preserve"> Beginning dates for an award is dependent upon when each individual grant agreement is approved. Once a grant agreement is approved, Subrecipients are notified via email of the effective date. </w:t>
      </w:r>
      <w:r w:rsidR="008A5CB4">
        <w:t xml:space="preserve"> </w:t>
      </w:r>
    </w:p>
    <w:p w:rsidR="00987CEC" w:rsidRPr="00665266" w:rsidRDefault="00987CEC" w:rsidP="00152460">
      <w:pPr>
        <w:pStyle w:val="Heading2"/>
      </w:pPr>
      <w:bookmarkStart w:id="11" w:name="_Toc480368177"/>
      <w:r w:rsidRPr="00665266">
        <w:t>Monitoring</w:t>
      </w:r>
      <w:bookmarkEnd w:id="11"/>
    </w:p>
    <w:p w:rsidR="00351D34" w:rsidRPr="00665266" w:rsidRDefault="00654CF3" w:rsidP="00351D34">
      <w:pPr>
        <w:pStyle w:val="Default"/>
        <w:jc w:val="both"/>
        <w:rPr>
          <w:rFonts w:asciiTheme="minorHAnsi" w:hAnsiTheme="minorHAnsi" w:cs="Times New Roman"/>
          <w:color w:val="auto"/>
        </w:rPr>
      </w:pPr>
      <w:r w:rsidRPr="00665266">
        <w:rPr>
          <w:rFonts w:asciiTheme="minorHAnsi" w:hAnsiTheme="minorHAnsi" w:cs="Times New Roman"/>
          <w:color w:val="auto"/>
        </w:rPr>
        <w:t xml:space="preserve">HSEM is responsible for monitoring </w:t>
      </w:r>
      <w:r w:rsidR="000E1DF5">
        <w:rPr>
          <w:rFonts w:asciiTheme="minorHAnsi" w:hAnsiTheme="minorHAnsi" w:cs="Times New Roman"/>
          <w:color w:val="auto"/>
        </w:rPr>
        <w:t>Subrecipient</w:t>
      </w:r>
      <w:r w:rsidRPr="00665266">
        <w:rPr>
          <w:rFonts w:asciiTheme="minorHAnsi" w:hAnsiTheme="minorHAnsi" w:cs="Times New Roman"/>
          <w:color w:val="auto"/>
        </w:rPr>
        <w:t xml:space="preserve"> activities. </w:t>
      </w:r>
      <w:r w:rsidR="00351D34" w:rsidRPr="00665266">
        <w:rPr>
          <w:rFonts w:asciiTheme="minorHAnsi" w:hAnsiTheme="minorHAnsi" w:cs="Times New Roman"/>
          <w:color w:val="auto"/>
        </w:rPr>
        <w:t xml:space="preserve">The purpose of grant monitoring is to </w:t>
      </w:r>
      <w:r w:rsidR="006D0F17">
        <w:rPr>
          <w:rFonts w:asciiTheme="minorHAnsi" w:hAnsiTheme="minorHAnsi" w:cs="Times New Roman"/>
          <w:color w:val="auto"/>
        </w:rPr>
        <w:t>ensure</w:t>
      </w:r>
      <w:r w:rsidR="00351D34" w:rsidRPr="00665266">
        <w:rPr>
          <w:rFonts w:asciiTheme="minorHAnsi" w:hAnsiTheme="minorHAnsi" w:cs="Times New Roman"/>
          <w:color w:val="auto"/>
        </w:rPr>
        <w:t xml:space="preserve"> the program is being administered properly and records </w:t>
      </w:r>
      <w:r w:rsidRPr="00665266">
        <w:rPr>
          <w:rFonts w:asciiTheme="minorHAnsi" w:hAnsiTheme="minorHAnsi" w:cs="Times New Roman"/>
          <w:color w:val="auto"/>
        </w:rPr>
        <w:t xml:space="preserve">are </w:t>
      </w:r>
      <w:r w:rsidR="006D0F17">
        <w:rPr>
          <w:rFonts w:asciiTheme="minorHAnsi" w:hAnsiTheme="minorHAnsi" w:cs="Times New Roman"/>
          <w:color w:val="auto"/>
        </w:rPr>
        <w:t xml:space="preserve">being </w:t>
      </w:r>
      <w:r w:rsidR="00351D34" w:rsidRPr="00665266">
        <w:rPr>
          <w:rFonts w:asciiTheme="minorHAnsi" w:hAnsiTheme="minorHAnsi" w:cs="Times New Roman"/>
          <w:color w:val="auto"/>
        </w:rPr>
        <w:t>maintained in accordance with applicable regulations. It is also used to render technical assistance, as necessary.</w:t>
      </w:r>
      <w:r w:rsidR="002956CA" w:rsidRPr="00665266">
        <w:rPr>
          <w:rFonts w:asciiTheme="minorHAnsi" w:hAnsiTheme="minorHAnsi" w:cs="Times New Roman"/>
          <w:color w:val="auto"/>
        </w:rPr>
        <w:t xml:space="preserve"> </w:t>
      </w:r>
      <w:r w:rsidR="00351D34" w:rsidRPr="00665266">
        <w:rPr>
          <w:rFonts w:asciiTheme="minorHAnsi" w:hAnsiTheme="minorHAnsi" w:cs="Times New Roman"/>
          <w:color w:val="auto"/>
        </w:rPr>
        <w:t>The level of monitoring</w:t>
      </w:r>
      <w:r w:rsidR="006D0F17">
        <w:rPr>
          <w:rFonts w:asciiTheme="minorHAnsi" w:hAnsiTheme="minorHAnsi" w:cs="Times New Roman"/>
          <w:color w:val="auto"/>
        </w:rPr>
        <w:t xml:space="preserve"> for a </w:t>
      </w:r>
      <w:r w:rsidR="000E1DF5">
        <w:rPr>
          <w:rFonts w:asciiTheme="minorHAnsi" w:hAnsiTheme="minorHAnsi" w:cs="Times New Roman"/>
          <w:color w:val="auto"/>
        </w:rPr>
        <w:t>Subrecipient</w:t>
      </w:r>
      <w:r w:rsidR="00351D34" w:rsidRPr="00665266">
        <w:rPr>
          <w:rFonts w:asciiTheme="minorHAnsi" w:hAnsiTheme="minorHAnsi" w:cs="Times New Roman"/>
          <w:color w:val="auto"/>
        </w:rPr>
        <w:t xml:space="preserve"> is determined by </w:t>
      </w:r>
      <w:r w:rsidRPr="00665266">
        <w:rPr>
          <w:rFonts w:asciiTheme="minorHAnsi" w:hAnsiTheme="minorHAnsi" w:cs="Times New Roman"/>
          <w:color w:val="auto"/>
        </w:rPr>
        <w:t xml:space="preserve">the </w:t>
      </w:r>
      <w:r w:rsidR="00462519" w:rsidRPr="00665266">
        <w:rPr>
          <w:rFonts w:asciiTheme="minorHAnsi" w:hAnsiTheme="minorHAnsi" w:cs="Times New Roman"/>
          <w:color w:val="auto"/>
        </w:rPr>
        <w:t>result</w:t>
      </w:r>
      <w:r w:rsidRPr="00665266">
        <w:rPr>
          <w:rFonts w:asciiTheme="minorHAnsi" w:hAnsiTheme="minorHAnsi" w:cs="Times New Roman"/>
          <w:color w:val="auto"/>
        </w:rPr>
        <w:t xml:space="preserve"> of </w:t>
      </w:r>
      <w:r w:rsidR="00462519" w:rsidRPr="00665266">
        <w:rPr>
          <w:rFonts w:asciiTheme="minorHAnsi" w:hAnsiTheme="minorHAnsi" w:cs="Times New Roman"/>
          <w:color w:val="auto"/>
        </w:rPr>
        <w:t>a risk-</w:t>
      </w:r>
      <w:r w:rsidR="00351D34" w:rsidRPr="00665266">
        <w:rPr>
          <w:rFonts w:asciiTheme="minorHAnsi" w:hAnsiTheme="minorHAnsi" w:cs="Times New Roman"/>
          <w:color w:val="auto"/>
        </w:rPr>
        <w:t xml:space="preserve">based assessment </w:t>
      </w:r>
      <w:r w:rsidR="00351D34" w:rsidRPr="00665266">
        <w:rPr>
          <w:rFonts w:asciiTheme="minorHAnsi" w:hAnsiTheme="minorHAnsi" w:cs="Times New Roman"/>
          <w:i/>
          <w:color w:val="auto"/>
        </w:rPr>
        <w:t xml:space="preserve">(refer to Risk Assessments </w:t>
      </w:r>
      <w:r w:rsidR="00753E3A" w:rsidRPr="00665266">
        <w:rPr>
          <w:rFonts w:asciiTheme="minorHAnsi" w:hAnsiTheme="minorHAnsi" w:cs="Times New Roman"/>
          <w:i/>
          <w:color w:val="auto"/>
        </w:rPr>
        <w:t xml:space="preserve">(Pre-Award) </w:t>
      </w:r>
      <w:r w:rsidR="00351D34" w:rsidRPr="00665266">
        <w:rPr>
          <w:rFonts w:asciiTheme="minorHAnsi" w:hAnsiTheme="minorHAnsi" w:cs="Times New Roman"/>
          <w:i/>
          <w:color w:val="auto"/>
        </w:rPr>
        <w:t xml:space="preserve">under the </w:t>
      </w:r>
      <w:r w:rsidR="005A533F" w:rsidRPr="00665266">
        <w:rPr>
          <w:rFonts w:asciiTheme="minorHAnsi" w:hAnsiTheme="minorHAnsi" w:cs="Times New Roman"/>
          <w:i/>
          <w:color w:val="auto"/>
        </w:rPr>
        <w:t xml:space="preserve">Grant </w:t>
      </w:r>
      <w:r w:rsidR="00351D34" w:rsidRPr="00665266">
        <w:rPr>
          <w:rFonts w:asciiTheme="minorHAnsi" w:hAnsiTheme="minorHAnsi" w:cs="Times New Roman"/>
          <w:i/>
          <w:color w:val="auto"/>
        </w:rPr>
        <w:t xml:space="preserve">Compliance </w:t>
      </w:r>
      <w:r w:rsidR="005A533F" w:rsidRPr="00665266">
        <w:rPr>
          <w:rFonts w:asciiTheme="minorHAnsi" w:hAnsiTheme="minorHAnsi" w:cs="Times New Roman"/>
          <w:i/>
          <w:color w:val="auto"/>
        </w:rPr>
        <w:t xml:space="preserve">Requirements </w:t>
      </w:r>
      <w:r w:rsidR="00351D34" w:rsidRPr="00665266">
        <w:rPr>
          <w:rFonts w:asciiTheme="minorHAnsi" w:hAnsiTheme="minorHAnsi" w:cs="Times New Roman"/>
          <w:i/>
          <w:color w:val="auto"/>
        </w:rPr>
        <w:t>section</w:t>
      </w:r>
      <w:r w:rsidRPr="00665266">
        <w:rPr>
          <w:rFonts w:asciiTheme="minorHAnsi" w:hAnsiTheme="minorHAnsi" w:cs="Times New Roman"/>
          <w:i/>
          <w:color w:val="auto"/>
        </w:rPr>
        <w:t xml:space="preserve"> of this document)</w:t>
      </w:r>
      <w:r w:rsidRPr="00665266">
        <w:rPr>
          <w:rFonts w:asciiTheme="minorHAnsi" w:hAnsiTheme="minorHAnsi" w:cs="Times New Roman"/>
          <w:color w:val="auto"/>
        </w:rPr>
        <w:t>.</w:t>
      </w:r>
      <w:r w:rsidR="002956CA" w:rsidRPr="00665266">
        <w:rPr>
          <w:rFonts w:asciiTheme="minorHAnsi" w:hAnsiTheme="minorHAnsi" w:cs="Times New Roman"/>
          <w:color w:val="auto"/>
        </w:rPr>
        <w:t xml:space="preserve"> </w:t>
      </w:r>
      <w:r w:rsidR="00351D34" w:rsidRPr="00665266">
        <w:rPr>
          <w:rFonts w:asciiTheme="minorHAnsi" w:hAnsiTheme="minorHAnsi" w:cs="Times New Roman"/>
          <w:color w:val="auto"/>
        </w:rPr>
        <w:t>The monitoring levels consist of program</w:t>
      </w:r>
      <w:r w:rsidR="00D578D2" w:rsidRPr="00665266">
        <w:rPr>
          <w:rFonts w:asciiTheme="minorHAnsi" w:hAnsiTheme="minorHAnsi" w:cs="Times New Roman"/>
          <w:color w:val="auto"/>
        </w:rPr>
        <w:t>matic</w:t>
      </w:r>
      <w:r w:rsidR="00351D34" w:rsidRPr="00665266">
        <w:rPr>
          <w:rFonts w:asciiTheme="minorHAnsi" w:hAnsiTheme="minorHAnsi" w:cs="Times New Roman"/>
          <w:color w:val="auto"/>
        </w:rPr>
        <w:t xml:space="preserve"> reviews, desk audits and on-site program</w:t>
      </w:r>
      <w:r w:rsidRPr="00665266">
        <w:rPr>
          <w:rFonts w:asciiTheme="minorHAnsi" w:hAnsiTheme="minorHAnsi" w:cs="Times New Roman"/>
          <w:color w:val="auto"/>
        </w:rPr>
        <w:t>/</w:t>
      </w:r>
      <w:r w:rsidR="00351D34" w:rsidRPr="00665266">
        <w:rPr>
          <w:rFonts w:asciiTheme="minorHAnsi" w:hAnsiTheme="minorHAnsi" w:cs="Times New Roman"/>
          <w:color w:val="auto"/>
        </w:rPr>
        <w:t>compliance review</w:t>
      </w:r>
      <w:r w:rsidRPr="00665266">
        <w:rPr>
          <w:rFonts w:asciiTheme="minorHAnsi" w:hAnsiTheme="minorHAnsi" w:cs="Times New Roman"/>
          <w:color w:val="auto"/>
        </w:rPr>
        <w:t>s</w:t>
      </w:r>
      <w:r w:rsidR="00351D34" w:rsidRPr="00665266">
        <w:rPr>
          <w:rFonts w:asciiTheme="minorHAnsi" w:hAnsiTheme="minorHAnsi" w:cs="Times New Roman"/>
          <w:color w:val="auto"/>
        </w:rPr>
        <w:t>.</w:t>
      </w:r>
      <w:r w:rsidR="002956CA" w:rsidRPr="00665266">
        <w:rPr>
          <w:rFonts w:asciiTheme="minorHAnsi" w:hAnsiTheme="minorHAnsi" w:cs="Times New Roman"/>
          <w:color w:val="auto"/>
        </w:rPr>
        <w:t xml:space="preserve"> </w:t>
      </w:r>
      <w:r w:rsidR="00884CAB">
        <w:rPr>
          <w:rFonts w:asciiTheme="minorHAnsi" w:hAnsiTheme="minorHAnsi" w:cs="Times New Roman"/>
          <w:color w:val="auto"/>
        </w:rPr>
        <w:t xml:space="preserve"> Contacts with Subrecipients are documented and filed.</w:t>
      </w:r>
    </w:p>
    <w:p w:rsidR="00176F1A" w:rsidRPr="00665266" w:rsidRDefault="00C9489C" w:rsidP="00152460">
      <w:pPr>
        <w:pStyle w:val="Heading2"/>
      </w:pPr>
      <w:bookmarkStart w:id="12" w:name="_Toc480368178"/>
      <w:r w:rsidRPr="00665266">
        <w:lastRenderedPageBreak/>
        <w:t>Contact Information</w:t>
      </w:r>
      <w:bookmarkEnd w:id="12"/>
    </w:p>
    <w:p w:rsidR="00687AE8" w:rsidRPr="00665266" w:rsidRDefault="00C736E9" w:rsidP="001572EC">
      <w:pPr>
        <w:spacing w:after="200" w:line="276" w:lineRule="auto"/>
        <w:rPr>
          <w:b/>
        </w:rPr>
      </w:pPr>
      <w:r w:rsidRPr="00665266">
        <w:t xml:space="preserve">For questions or assistance with </w:t>
      </w:r>
      <w:r w:rsidR="00051DDD" w:rsidRPr="00665266">
        <w:t xml:space="preserve">the </w:t>
      </w:r>
      <w:r w:rsidRPr="00665266">
        <w:t>EMPG</w:t>
      </w:r>
      <w:r w:rsidR="00051DDD" w:rsidRPr="00665266">
        <w:t xml:space="preserve"> Program</w:t>
      </w:r>
      <w:r w:rsidRPr="00665266">
        <w:t xml:space="preserve">, contact your </w:t>
      </w:r>
      <w:r w:rsidR="00753E3A" w:rsidRPr="00665266">
        <w:t xml:space="preserve">assigned </w:t>
      </w:r>
      <w:r w:rsidR="00062FF9" w:rsidRPr="00665266">
        <w:t xml:space="preserve">HSEM </w:t>
      </w:r>
      <w:r w:rsidRPr="00665266">
        <w:t xml:space="preserve">Field Representative at </w:t>
      </w:r>
      <w:hyperlink r:id="rId17" w:history="1">
        <w:r w:rsidR="00753E3A" w:rsidRPr="00665266">
          <w:rPr>
            <w:rStyle w:val="Hyperlink"/>
          </w:rPr>
          <w:t>nhfs@dos.nh.gov</w:t>
        </w:r>
      </w:hyperlink>
      <w:r w:rsidRPr="00665266">
        <w:t>, 603-223-3663 or contac</w:t>
      </w:r>
      <w:r w:rsidR="00062FF9" w:rsidRPr="00665266">
        <w:t xml:space="preserve">t the EMPG </w:t>
      </w:r>
      <w:r w:rsidR="001523E9">
        <w:t xml:space="preserve">Program </w:t>
      </w:r>
      <w:r w:rsidR="00062FF9" w:rsidRPr="00665266">
        <w:t>C</w:t>
      </w:r>
      <w:r w:rsidRPr="00665266">
        <w:t xml:space="preserve">oordinator at </w:t>
      </w:r>
      <w:hyperlink r:id="rId18" w:history="1">
        <w:r w:rsidR="006D0F17" w:rsidRPr="00F16DB0">
          <w:rPr>
            <w:rStyle w:val="Hyperlink"/>
          </w:rPr>
          <w:t>nhempgprogram@dos.nh.gov</w:t>
        </w:r>
      </w:hyperlink>
      <w:r w:rsidRPr="00665266">
        <w:t xml:space="preserve"> or 603-271-2231</w:t>
      </w:r>
      <w:r w:rsidR="00062FF9" w:rsidRPr="00665266">
        <w:t>.</w:t>
      </w:r>
      <w:r w:rsidR="00687AE8" w:rsidRPr="00665266">
        <w:rPr>
          <w:b/>
        </w:rPr>
        <w:br w:type="page"/>
      </w:r>
    </w:p>
    <w:p w:rsidR="00176F1A" w:rsidRPr="00665266" w:rsidRDefault="00176F1A" w:rsidP="00152460">
      <w:pPr>
        <w:pStyle w:val="Heading1"/>
      </w:pPr>
      <w:bookmarkStart w:id="13" w:name="_Toc480368179"/>
      <w:r w:rsidRPr="00665266">
        <w:lastRenderedPageBreak/>
        <w:t xml:space="preserve">Grant Compliance </w:t>
      </w:r>
      <w:r w:rsidR="00AE7AC8">
        <w:t xml:space="preserve">&amp; Certification </w:t>
      </w:r>
      <w:r w:rsidRPr="00665266">
        <w:t>Requirements</w:t>
      </w:r>
      <w:bookmarkEnd w:id="13"/>
      <w:r w:rsidRPr="00665266">
        <w:t xml:space="preserve"> </w:t>
      </w:r>
    </w:p>
    <w:p w:rsidR="003F4E25" w:rsidRPr="00665266" w:rsidRDefault="00652BDE" w:rsidP="006D0F17">
      <w:pPr>
        <w:pStyle w:val="Default"/>
        <w:spacing w:after="120"/>
        <w:jc w:val="center"/>
        <w:rPr>
          <w:rFonts w:asciiTheme="minorHAnsi" w:hAnsiTheme="minorHAnsi" w:cs="Times New Roman"/>
          <w:b/>
          <w:i/>
          <w:color w:val="C00000"/>
        </w:rPr>
      </w:pPr>
      <w:r w:rsidRPr="00665266">
        <w:rPr>
          <w:rFonts w:asciiTheme="minorHAnsi" w:hAnsiTheme="minorHAnsi" w:cs="Times New Roman"/>
          <w:b/>
          <w:i/>
          <w:color w:val="C00000"/>
        </w:rPr>
        <w:t xml:space="preserve">You </w:t>
      </w:r>
      <w:r w:rsidRPr="00B90BC2">
        <w:rPr>
          <w:rFonts w:asciiTheme="minorHAnsi" w:hAnsiTheme="minorHAnsi" w:cs="Times New Roman"/>
          <w:b/>
          <w:i/>
          <w:color w:val="C00000"/>
          <w:u w:val="single"/>
        </w:rPr>
        <w:t>must</w:t>
      </w:r>
      <w:r w:rsidR="003F4E25" w:rsidRPr="00665266">
        <w:rPr>
          <w:rFonts w:asciiTheme="minorHAnsi" w:hAnsiTheme="minorHAnsi" w:cs="Times New Roman"/>
          <w:b/>
          <w:i/>
          <w:color w:val="C00000"/>
        </w:rPr>
        <w:t xml:space="preserve"> fully understand the following compliance requirements as you will be asked to cer</w:t>
      </w:r>
      <w:r w:rsidR="00627BEC" w:rsidRPr="00665266">
        <w:rPr>
          <w:rFonts w:asciiTheme="minorHAnsi" w:hAnsiTheme="minorHAnsi" w:cs="Times New Roman"/>
          <w:b/>
          <w:i/>
          <w:color w:val="C00000"/>
        </w:rPr>
        <w:t>tify this in your application.</w:t>
      </w:r>
    </w:p>
    <w:p w:rsidR="003C6D26" w:rsidRPr="00665266" w:rsidRDefault="003F4E25" w:rsidP="00152460">
      <w:pPr>
        <w:pStyle w:val="Heading2"/>
      </w:pPr>
      <w:bookmarkStart w:id="14" w:name="_Toc480368180"/>
      <w:r w:rsidRPr="00665266">
        <w:t>2 C</w:t>
      </w:r>
      <w:r w:rsidR="00BB1D9D">
        <w:t>.</w:t>
      </w:r>
      <w:r w:rsidRPr="00665266">
        <w:t>F</w:t>
      </w:r>
      <w:r w:rsidR="00BB1D9D">
        <w:t>.</w:t>
      </w:r>
      <w:r w:rsidRPr="00665266">
        <w:t>R</w:t>
      </w:r>
      <w:r w:rsidR="00BB1D9D">
        <w:t>.</w:t>
      </w:r>
      <w:r w:rsidRPr="00665266">
        <w:t xml:space="preserve"> </w:t>
      </w:r>
      <w:r w:rsidR="00981FF3" w:rsidRPr="00665266">
        <w:t>Part 200 (the “Super Circular”)</w:t>
      </w:r>
      <w:bookmarkEnd w:id="14"/>
      <w:r w:rsidRPr="00665266">
        <w:t xml:space="preserve"> </w:t>
      </w:r>
    </w:p>
    <w:p w:rsidR="00981FF3" w:rsidRPr="00665266" w:rsidRDefault="00981FF3" w:rsidP="00BB1D9D">
      <w:pPr>
        <w:spacing w:after="120"/>
        <w:rPr>
          <w:rFonts w:eastAsia="Calibri"/>
          <w:b/>
        </w:rPr>
      </w:pPr>
      <w:r w:rsidRPr="00665266">
        <w:rPr>
          <w:rFonts w:eastAsia="Calibri"/>
        </w:rPr>
        <w:t xml:space="preserve">In December 2014, FEMA implemented Title 2, Part 200 of the Code of Federal Regulations (C.F.R.), the </w:t>
      </w:r>
      <w:r w:rsidRPr="00665266">
        <w:rPr>
          <w:rFonts w:eastAsia="Calibri"/>
          <w:i/>
        </w:rPr>
        <w:t>Uniform Administrative Requirements, Cost Principles, and Audit Requirements for Federal Awards</w:t>
      </w:r>
      <w:r w:rsidRPr="00665266">
        <w:rPr>
          <w:rFonts w:eastAsia="Calibri"/>
        </w:rPr>
        <w:t xml:space="preserve"> (“Super Circular”).</w:t>
      </w:r>
      <w:r w:rsidR="002956CA" w:rsidRPr="00665266">
        <w:rPr>
          <w:rFonts w:eastAsia="Calibri"/>
        </w:rPr>
        <w:t xml:space="preserve"> </w:t>
      </w:r>
      <w:r w:rsidRPr="00665266">
        <w:rPr>
          <w:rFonts w:eastAsia="Calibri"/>
        </w:rPr>
        <w:t>2 C.F.R. Part 200 provides guidance on the administrative aspects of federal grants (e.g. how grants are awarde</w:t>
      </w:r>
      <w:r w:rsidR="00D578D2" w:rsidRPr="00665266">
        <w:rPr>
          <w:rFonts w:eastAsia="Calibri"/>
        </w:rPr>
        <w:t xml:space="preserve">d, managed, audited, and closed </w:t>
      </w:r>
      <w:r w:rsidRPr="00665266">
        <w:rPr>
          <w:rFonts w:eastAsia="Calibri"/>
        </w:rPr>
        <w:t>out).</w:t>
      </w:r>
      <w:r w:rsidR="002956CA" w:rsidRPr="00665266">
        <w:rPr>
          <w:rFonts w:eastAsia="Calibri"/>
        </w:rPr>
        <w:t xml:space="preserve"> </w:t>
      </w:r>
      <w:r w:rsidRPr="00665266">
        <w:rPr>
          <w:rFonts w:eastAsia="Calibri"/>
        </w:rPr>
        <w:t xml:space="preserve">The following list identifies some of the areas where substantive changes </w:t>
      </w:r>
      <w:r w:rsidR="00E026B5" w:rsidRPr="00665266">
        <w:rPr>
          <w:rFonts w:eastAsia="Calibri"/>
        </w:rPr>
        <w:t xml:space="preserve">were made, effective December 2014, </w:t>
      </w:r>
      <w:r w:rsidRPr="00665266">
        <w:rPr>
          <w:rFonts w:eastAsia="Calibri"/>
        </w:rPr>
        <w:t xml:space="preserve">in 2 C.F.R. Part 200 </w:t>
      </w:r>
      <w:r w:rsidR="00BB1D9D">
        <w:rPr>
          <w:rFonts w:eastAsia="Calibri"/>
        </w:rPr>
        <w:t xml:space="preserve">and </w:t>
      </w:r>
      <w:r w:rsidRPr="00665266">
        <w:rPr>
          <w:rFonts w:eastAsia="Calibri"/>
        </w:rPr>
        <w:t xml:space="preserve">impacts EMPG </w:t>
      </w:r>
      <w:r w:rsidR="000E1DF5">
        <w:rPr>
          <w:rFonts w:eastAsia="Calibri"/>
        </w:rPr>
        <w:t>Subrecipient</w:t>
      </w:r>
      <w:r w:rsidRPr="00665266">
        <w:rPr>
          <w:rFonts w:eastAsia="Calibri"/>
        </w:rPr>
        <w:t xml:space="preserve">. </w:t>
      </w:r>
      <w:r w:rsidR="00BB1D9D">
        <w:rPr>
          <w:rFonts w:eastAsia="Calibri"/>
          <w:b/>
        </w:rPr>
        <w:t xml:space="preserve">EMPG </w:t>
      </w:r>
      <w:r w:rsidR="000E1DF5">
        <w:rPr>
          <w:rFonts w:eastAsia="Calibri"/>
          <w:b/>
        </w:rPr>
        <w:t>Subrecipient</w:t>
      </w:r>
      <w:r w:rsidRPr="00665266">
        <w:rPr>
          <w:rFonts w:eastAsia="Calibri"/>
          <w:b/>
        </w:rPr>
        <w:t xml:space="preserve">s are encouraged to become familiar with the requirements of each section: </w:t>
      </w:r>
    </w:p>
    <w:p w:rsidR="00981FF3" w:rsidRPr="00665266" w:rsidRDefault="00DD0E47" w:rsidP="007E783E">
      <w:pPr>
        <w:numPr>
          <w:ilvl w:val="0"/>
          <w:numId w:val="17"/>
        </w:numPr>
        <w:spacing w:after="120"/>
        <w:rPr>
          <w:rFonts w:eastAsia="Calibri"/>
        </w:rPr>
      </w:pPr>
      <w:hyperlink r:id="rId19" w:history="1">
        <w:r w:rsidR="00981FF3" w:rsidRPr="00BB1D9D">
          <w:rPr>
            <w:rStyle w:val="Hyperlink"/>
            <w:rFonts w:eastAsia="Calibri"/>
          </w:rPr>
          <w:t>§200.112 Conflict of Interest</w:t>
        </w:r>
      </w:hyperlink>
      <w:r w:rsidR="00981FF3" w:rsidRPr="00665266">
        <w:rPr>
          <w:rFonts w:eastAsia="Calibri"/>
        </w:rPr>
        <w:t xml:space="preserve"> </w:t>
      </w:r>
    </w:p>
    <w:p w:rsidR="00981FF3" w:rsidRPr="00665266" w:rsidRDefault="00DD0E47" w:rsidP="00981FF3">
      <w:pPr>
        <w:numPr>
          <w:ilvl w:val="0"/>
          <w:numId w:val="17"/>
        </w:numPr>
        <w:spacing w:before="100" w:beforeAutospacing="1" w:after="120"/>
        <w:rPr>
          <w:rFonts w:eastAsia="Calibri"/>
        </w:rPr>
      </w:pPr>
      <w:hyperlink r:id="rId20" w:history="1">
        <w:r w:rsidR="00981FF3" w:rsidRPr="00BB1D9D">
          <w:rPr>
            <w:rStyle w:val="Hyperlink"/>
            <w:rFonts w:eastAsia="Calibri"/>
          </w:rPr>
          <w:t>§200.204 Federal Awarding Agency Review of Merit Proposals</w:t>
        </w:r>
      </w:hyperlink>
    </w:p>
    <w:p w:rsidR="00981FF3" w:rsidRPr="00665266" w:rsidRDefault="00DD0E47" w:rsidP="00981FF3">
      <w:pPr>
        <w:numPr>
          <w:ilvl w:val="0"/>
          <w:numId w:val="17"/>
        </w:numPr>
        <w:spacing w:before="100" w:beforeAutospacing="1" w:after="120"/>
        <w:rPr>
          <w:rFonts w:eastAsia="Calibri"/>
        </w:rPr>
      </w:pPr>
      <w:hyperlink r:id="rId21" w:history="1">
        <w:r w:rsidR="00981FF3" w:rsidRPr="00BB1D9D">
          <w:rPr>
            <w:rStyle w:val="Hyperlink"/>
            <w:rFonts w:eastAsia="Calibri"/>
          </w:rPr>
          <w:t xml:space="preserve">§200.307 Program Income </w:t>
        </w:r>
      </w:hyperlink>
    </w:p>
    <w:p w:rsidR="00981FF3" w:rsidRPr="00665266" w:rsidRDefault="00DD0E47" w:rsidP="00981FF3">
      <w:pPr>
        <w:numPr>
          <w:ilvl w:val="0"/>
          <w:numId w:val="17"/>
        </w:numPr>
        <w:spacing w:before="100" w:beforeAutospacing="1" w:after="120"/>
        <w:rPr>
          <w:rFonts w:eastAsia="Calibri"/>
        </w:rPr>
      </w:pPr>
      <w:hyperlink r:id="rId22" w:history="1">
        <w:r w:rsidR="00981FF3" w:rsidRPr="00BB1D9D">
          <w:rPr>
            <w:rStyle w:val="Hyperlink"/>
            <w:rFonts w:eastAsia="Calibri"/>
          </w:rPr>
          <w:t>§200.308 Revision of Budget and Program Plans</w:t>
        </w:r>
      </w:hyperlink>
    </w:p>
    <w:p w:rsidR="00981FF3" w:rsidRPr="00665266" w:rsidRDefault="00DD0E47" w:rsidP="00981FF3">
      <w:pPr>
        <w:numPr>
          <w:ilvl w:val="0"/>
          <w:numId w:val="17"/>
        </w:numPr>
        <w:spacing w:before="100" w:beforeAutospacing="1" w:after="120"/>
        <w:rPr>
          <w:rFonts w:eastAsia="Calibri"/>
        </w:rPr>
      </w:pPr>
      <w:hyperlink r:id="rId23" w:history="1">
        <w:r w:rsidR="00981FF3" w:rsidRPr="00BB1D9D">
          <w:rPr>
            <w:rStyle w:val="Hyperlink"/>
            <w:rFonts w:eastAsia="Calibri"/>
          </w:rPr>
          <w:t>§200.309 Period of Performance</w:t>
        </w:r>
      </w:hyperlink>
    </w:p>
    <w:p w:rsidR="00981FF3" w:rsidRPr="00665266" w:rsidRDefault="00DD0E47" w:rsidP="00981FF3">
      <w:pPr>
        <w:numPr>
          <w:ilvl w:val="0"/>
          <w:numId w:val="17"/>
        </w:numPr>
        <w:spacing w:before="100" w:beforeAutospacing="1" w:after="120"/>
        <w:rPr>
          <w:rFonts w:eastAsia="Calibri"/>
        </w:rPr>
      </w:pPr>
      <w:hyperlink r:id="rId24" w:history="1">
        <w:r w:rsidR="00981FF3" w:rsidRPr="00BB1D9D">
          <w:rPr>
            <w:rStyle w:val="Hyperlink"/>
            <w:rFonts w:eastAsia="Calibri"/>
          </w:rPr>
          <w:t>§200.313 Equipment</w:t>
        </w:r>
      </w:hyperlink>
    </w:p>
    <w:p w:rsidR="00FD2E08" w:rsidRPr="00665266" w:rsidRDefault="00DB1B53" w:rsidP="00981FF3">
      <w:pPr>
        <w:spacing w:before="100" w:beforeAutospacing="1" w:after="120"/>
        <w:rPr>
          <w:rFonts w:eastAsia="Calibri"/>
        </w:rPr>
      </w:pPr>
      <w:r w:rsidRPr="00665266">
        <w:rPr>
          <w:rFonts w:eastAsia="Calibri"/>
        </w:rPr>
        <w:t xml:space="preserve">Current EMPG </w:t>
      </w:r>
      <w:r w:rsidR="000E1DF5">
        <w:rPr>
          <w:rFonts w:eastAsia="Calibri"/>
        </w:rPr>
        <w:t>Subrecipient</w:t>
      </w:r>
      <w:r w:rsidR="00981FF3" w:rsidRPr="00665266">
        <w:rPr>
          <w:rFonts w:eastAsia="Calibri"/>
        </w:rPr>
        <w:t xml:space="preserve">s </w:t>
      </w:r>
      <w:r w:rsidR="00981FF3" w:rsidRPr="00B90BC2">
        <w:rPr>
          <w:rFonts w:eastAsia="Calibri"/>
          <w:b/>
          <w:i/>
          <w:u w:val="single"/>
        </w:rPr>
        <w:t>must</w:t>
      </w:r>
      <w:r w:rsidR="00981FF3" w:rsidRPr="00665266">
        <w:rPr>
          <w:rFonts w:eastAsia="Calibri"/>
        </w:rPr>
        <w:t xml:space="preserve"> continue to follow the terms and conditions of their individual awards.</w:t>
      </w:r>
      <w:r w:rsidR="002956CA" w:rsidRPr="00665266">
        <w:rPr>
          <w:rFonts w:eastAsia="Calibri"/>
        </w:rPr>
        <w:t xml:space="preserve"> </w:t>
      </w:r>
      <w:r w:rsidR="00981FF3" w:rsidRPr="00665266">
        <w:rPr>
          <w:rFonts w:eastAsia="Calibri"/>
        </w:rPr>
        <w:t>FEMA’s 2014 Information Bulletin (IB) #400 provides guidance and information regarding the “Super Circular” and is available here:</w:t>
      </w:r>
      <w:r w:rsidR="002956CA" w:rsidRPr="00665266">
        <w:rPr>
          <w:rFonts w:eastAsia="Calibri"/>
        </w:rPr>
        <w:t xml:space="preserve"> </w:t>
      </w:r>
      <w:hyperlink r:id="rId25" w:history="1">
        <w:r w:rsidR="00981FF3" w:rsidRPr="00665266">
          <w:rPr>
            <w:rStyle w:val="Hyperlink"/>
            <w:rFonts w:eastAsia="Calibri"/>
          </w:rPr>
          <w:t>https://www.fema.gov/media-library-data/1419366341862-296dd0cc30bbf64a6b45581afe9d8b17/InformationBulletin400_2</w:t>
        </w:r>
        <w:r w:rsidR="00457696">
          <w:rPr>
            <w:rStyle w:val="Hyperlink"/>
            <w:rFonts w:eastAsia="Calibri"/>
          </w:rPr>
          <w:t>C.F.R.</w:t>
        </w:r>
        <w:r w:rsidR="00981FF3" w:rsidRPr="00665266">
          <w:rPr>
            <w:rStyle w:val="Hyperlink"/>
            <w:rFonts w:eastAsia="Calibri"/>
          </w:rPr>
          <w:t>Part200_FINAL.pdf</w:t>
        </w:r>
      </w:hyperlink>
      <w:r w:rsidR="00981FF3" w:rsidRPr="00665266">
        <w:rPr>
          <w:rFonts w:eastAsia="Calibri"/>
        </w:rPr>
        <w:t xml:space="preserve"> </w:t>
      </w:r>
    </w:p>
    <w:p w:rsidR="00981FF3" w:rsidRPr="00665266" w:rsidRDefault="00981FF3" w:rsidP="00152460">
      <w:pPr>
        <w:pStyle w:val="Heading2"/>
      </w:pPr>
      <w:bookmarkStart w:id="15" w:name="_Toc480368181"/>
      <w:r w:rsidRPr="00665266">
        <w:t>Audit Submittals</w:t>
      </w:r>
      <w:bookmarkEnd w:id="15"/>
    </w:p>
    <w:p w:rsidR="00981FF3" w:rsidRPr="00665266" w:rsidRDefault="00981FF3" w:rsidP="00627BEC">
      <w:pPr>
        <w:autoSpaceDE w:val="0"/>
        <w:autoSpaceDN w:val="0"/>
        <w:adjustRightInd w:val="0"/>
        <w:spacing w:after="120"/>
      </w:pPr>
      <w:r w:rsidRPr="00665266">
        <w:t>All applicants are required to upload and submit a copy of their most recent audit documentation at the time of application.</w:t>
      </w:r>
      <w:r w:rsidR="002956CA" w:rsidRPr="00665266">
        <w:t xml:space="preserve"> </w:t>
      </w:r>
      <w:r w:rsidR="006673CA" w:rsidRPr="00665266">
        <w:t>Submittal of additional audits may be requested if the grant award extends between multiple fiscal years or due to the determination of the risk assessment.</w:t>
      </w:r>
    </w:p>
    <w:p w:rsidR="00894E6E" w:rsidRPr="00665266" w:rsidRDefault="00894E6E" w:rsidP="00152460">
      <w:pPr>
        <w:pStyle w:val="Heading2"/>
      </w:pPr>
      <w:bookmarkStart w:id="16" w:name="_Toc480368182"/>
      <w:r w:rsidRPr="00665266">
        <w:t>Authorized Equipment List</w:t>
      </w:r>
      <w:bookmarkEnd w:id="16"/>
    </w:p>
    <w:p w:rsidR="00894E6E" w:rsidRPr="00665266" w:rsidRDefault="00894E6E" w:rsidP="00627BEC">
      <w:pPr>
        <w:autoSpaceDE w:val="0"/>
        <w:autoSpaceDN w:val="0"/>
        <w:adjustRightInd w:val="0"/>
        <w:spacing w:after="120"/>
      </w:pPr>
      <w:r w:rsidRPr="00665266">
        <w:t>The Authorized Equipment List (AEL) is a list of approved equipment types allowed under FEMA’s preparedness grant programs. The intended audience of this tool is emergency managers, first responders, and other homeland security professionals. The list consists of 21 equipment categories divided into categories, sub-categories and then individual equipment items.</w:t>
      </w:r>
      <w:r w:rsidR="002956CA" w:rsidRPr="00665266">
        <w:t xml:space="preserve"> </w:t>
      </w:r>
      <w:r w:rsidR="00E27E2E" w:rsidRPr="00665266">
        <w:t>NH’s program allows for equipment that falls under nine (9) of the AEL categories (</w:t>
      </w:r>
      <w:r w:rsidR="00E27E2E" w:rsidRPr="005846D2">
        <w:rPr>
          <w:i/>
        </w:rPr>
        <w:t>refer to Allowable Costs, Section C</w:t>
      </w:r>
      <w:r w:rsidR="005846D2">
        <w:rPr>
          <w:i/>
        </w:rPr>
        <w:t xml:space="preserve">, </w:t>
      </w:r>
      <w:r w:rsidR="00E27E2E" w:rsidRPr="005846D2">
        <w:rPr>
          <w:i/>
        </w:rPr>
        <w:t>Equipment</w:t>
      </w:r>
      <w:r w:rsidR="005846D2">
        <w:rPr>
          <w:i/>
        </w:rPr>
        <w:t xml:space="preserve"> of this document</w:t>
      </w:r>
      <w:r w:rsidR="00E27E2E" w:rsidRPr="005846D2">
        <w:rPr>
          <w:i/>
        </w:rPr>
        <w:t>)</w:t>
      </w:r>
      <w:r w:rsidR="00E27E2E" w:rsidRPr="00665266">
        <w:t>.</w:t>
      </w:r>
    </w:p>
    <w:p w:rsidR="00DA11DB" w:rsidRPr="00152460" w:rsidRDefault="00DA11DB" w:rsidP="00152460">
      <w:pPr>
        <w:pStyle w:val="Heading2"/>
      </w:pPr>
      <w:bookmarkStart w:id="17" w:name="_Toc480368183"/>
      <w:proofErr w:type="gramStart"/>
      <w:r w:rsidRPr="00152460">
        <w:lastRenderedPageBreak/>
        <w:t>Certifications  Regarding</w:t>
      </w:r>
      <w:proofErr w:type="gramEnd"/>
      <w:r w:rsidRPr="00152460">
        <w:t xml:space="preserve"> Lobbying; Debarment, Suspension and Other Responsibility Matters; and Drug-Free Workplace Requirements</w:t>
      </w:r>
      <w:bookmarkEnd w:id="17"/>
    </w:p>
    <w:p w:rsidR="00111EE7" w:rsidRPr="00D90ED0" w:rsidRDefault="00D90ED0" w:rsidP="00D90ED0">
      <w:pPr>
        <w:pStyle w:val="Default"/>
        <w:jc w:val="both"/>
        <w:rPr>
          <w:rFonts w:asciiTheme="minorHAnsi" w:hAnsiTheme="minorHAnsi"/>
        </w:rPr>
      </w:pPr>
      <w:r w:rsidRPr="00D90ED0">
        <w:rPr>
          <w:rFonts w:asciiTheme="minorHAnsi" w:hAnsiTheme="minorHAnsi"/>
        </w:rPr>
        <w:t xml:space="preserve">Applicants will be required to review and provide acceptance of the </w:t>
      </w:r>
      <w:r w:rsidRPr="00D90ED0">
        <w:rPr>
          <w:rFonts w:asciiTheme="minorHAnsi" w:hAnsiTheme="minorHAnsi"/>
          <w:i/>
        </w:rPr>
        <w:t>Certifications Regarding Lobbying; Debarment, Suspension and Other Responsibility Matters; and Drug-Free Workplace Requirements Form</w:t>
      </w:r>
      <w:r w:rsidRPr="00D90ED0">
        <w:rPr>
          <w:rFonts w:asciiTheme="minorHAnsi" w:hAnsiTheme="minorHAnsi"/>
        </w:rPr>
        <w:t xml:space="preserve"> at the time of application. </w:t>
      </w:r>
      <w:r>
        <w:rPr>
          <w:rFonts w:asciiTheme="minorHAnsi" w:hAnsiTheme="minorHAnsi"/>
        </w:rPr>
        <w:t xml:space="preserve"> </w:t>
      </w:r>
      <w:r w:rsidRPr="00D90ED0">
        <w:rPr>
          <w:rFonts w:asciiTheme="minorHAnsi" w:hAnsiTheme="minorHAnsi"/>
        </w:rPr>
        <w:t xml:space="preserve">Acceptance of this </w:t>
      </w:r>
      <w:r w:rsidR="00CA647E" w:rsidRPr="00D90ED0">
        <w:rPr>
          <w:rFonts w:asciiTheme="minorHAnsi" w:hAnsiTheme="minorHAnsi"/>
        </w:rPr>
        <w:t xml:space="preserve">form </w:t>
      </w:r>
      <w:r w:rsidR="00CA647E" w:rsidRPr="00D90ED0">
        <w:rPr>
          <w:rFonts w:asciiTheme="minorHAnsi" w:eastAsiaTheme="minorHAnsi" w:hAnsiTheme="minorHAnsi"/>
        </w:rPr>
        <w:t>provides</w:t>
      </w:r>
      <w:r w:rsidRPr="00D90ED0">
        <w:rPr>
          <w:rFonts w:asciiTheme="minorHAnsi" w:eastAsiaTheme="minorHAnsi" w:hAnsiTheme="minorHAnsi"/>
        </w:rPr>
        <w:t xml:space="preserve"> for compliance with certification requirements under 44 CFR Part 18, "New Restrictions on Lobbying" and 28 CFR Part 17, "Government-wide Debarment and Suspension (</w:t>
      </w:r>
      <w:proofErr w:type="spellStart"/>
      <w:r w:rsidRPr="00D90ED0">
        <w:rPr>
          <w:rFonts w:asciiTheme="minorHAnsi" w:eastAsiaTheme="minorHAnsi" w:hAnsiTheme="minorHAnsi"/>
        </w:rPr>
        <w:t>Nonprocurement</w:t>
      </w:r>
      <w:proofErr w:type="spellEnd"/>
      <w:r w:rsidRPr="00D90ED0">
        <w:rPr>
          <w:rFonts w:asciiTheme="minorHAnsi" w:eastAsiaTheme="minorHAnsi" w:hAnsiTheme="minorHAnsi"/>
        </w:rPr>
        <w:t>) and Government-wide Requirements for Drug-Free Workplace (Grants)." The certifications shall be treated as a material representation of fact upon which reliance will be placed when the Federal Emergency Management Agency (FEMA) determines to award the transaction, grant, or cooperative agreement.</w:t>
      </w:r>
    </w:p>
    <w:p w:rsidR="00C835A4" w:rsidRPr="00665266" w:rsidRDefault="00C835A4" w:rsidP="00152460">
      <w:pPr>
        <w:pStyle w:val="Heading2"/>
      </w:pPr>
      <w:bookmarkStart w:id="18" w:name="_Toc480368184"/>
      <w:r w:rsidRPr="00665266">
        <w:t>Commingling</w:t>
      </w:r>
      <w:bookmarkEnd w:id="18"/>
    </w:p>
    <w:p w:rsidR="00C835A4" w:rsidRDefault="00C835A4" w:rsidP="004741FD">
      <w:pPr>
        <w:tabs>
          <w:tab w:val="left" w:pos="5760"/>
        </w:tabs>
        <w:spacing w:after="120"/>
      </w:pPr>
      <w:r w:rsidRPr="00665266">
        <w:t>Com</w:t>
      </w:r>
      <w:r w:rsidR="00894E51" w:rsidRPr="00665266">
        <w:t>m</w:t>
      </w:r>
      <w:r w:rsidRPr="00665266">
        <w:t>ingling is the mixing or blending of funds so that expenditures cannot be identified to a particular grant, project, or indirect activity. FEMA requires that recipients of Federal grant funds utilize financial systems that provide for effective control over and accountability for all funds, with separate accounts established for each project.</w:t>
      </w:r>
      <w:r w:rsidR="002956CA" w:rsidRPr="00665266">
        <w:t xml:space="preserve"> </w:t>
      </w:r>
      <w:r w:rsidR="004741FD" w:rsidRPr="00665266">
        <w:t>T</w:t>
      </w:r>
      <w:r w:rsidR="000E1DF5">
        <w:t>he accounting systems of all Subrecipient</w:t>
      </w:r>
      <w:r w:rsidR="004741FD" w:rsidRPr="00665266">
        <w:t xml:space="preserve">s </w:t>
      </w:r>
      <w:r w:rsidR="004741FD" w:rsidRPr="00B90BC2">
        <w:rPr>
          <w:b/>
          <w:i/>
          <w:u w:val="single"/>
        </w:rPr>
        <w:t>must</w:t>
      </w:r>
      <w:r w:rsidR="004741FD" w:rsidRPr="00665266">
        <w:t xml:space="preserve"> ensure that agency funds are not commingled with funds from other Federal agencies. Each award </w:t>
      </w:r>
      <w:r w:rsidR="004741FD" w:rsidRPr="00B90BC2">
        <w:rPr>
          <w:b/>
          <w:i/>
          <w:u w:val="single"/>
        </w:rPr>
        <w:t>must</w:t>
      </w:r>
      <w:r w:rsidR="004741FD" w:rsidRPr="00665266">
        <w:t xml:space="preserve"> be accounted for separately.</w:t>
      </w:r>
      <w:r w:rsidR="002956CA" w:rsidRPr="00665266">
        <w:t xml:space="preserve"> </w:t>
      </w:r>
      <w:r w:rsidR="000E1DF5">
        <w:t>Subrecipient</w:t>
      </w:r>
      <w:r w:rsidR="004741FD" w:rsidRPr="00665266">
        <w:t xml:space="preserve">s are prohibited from commingling funds on either a program-by-program or project-by-project basis. Funds specifically budgeted and/or received for one project may not be used to support another. Where a </w:t>
      </w:r>
      <w:r w:rsidR="000E1DF5">
        <w:t>Subrecipient</w:t>
      </w:r>
      <w:r w:rsidR="004741FD" w:rsidRPr="00665266">
        <w:t xml:space="preserve">'s accounting system cannot comply with this requirement, the </w:t>
      </w:r>
      <w:r w:rsidR="000E1DF5">
        <w:t>Subrecipient</w:t>
      </w:r>
      <w:r w:rsidR="004741FD" w:rsidRPr="00665266">
        <w:t xml:space="preserve"> shall establish a system to provide adequate fund accountability for each </w:t>
      </w:r>
      <w:proofErr w:type="gramStart"/>
      <w:r w:rsidR="004741FD" w:rsidRPr="00665266">
        <w:t>project</w:t>
      </w:r>
      <w:proofErr w:type="gramEnd"/>
      <w:r w:rsidR="004741FD" w:rsidRPr="00665266">
        <w:t xml:space="preserve"> it has been awarded.</w:t>
      </w:r>
    </w:p>
    <w:p w:rsidR="006212D8" w:rsidRPr="00665266" w:rsidRDefault="003F4E25" w:rsidP="00152460">
      <w:pPr>
        <w:pStyle w:val="Heading2"/>
      </w:pPr>
      <w:bookmarkStart w:id="19" w:name="_Toc480368185"/>
      <w:r w:rsidRPr="00665266">
        <w:t>Davis-Bacon Act Compliance</w:t>
      </w:r>
      <w:bookmarkEnd w:id="19"/>
    </w:p>
    <w:p w:rsidR="003F4E25" w:rsidRPr="00665266" w:rsidRDefault="003F4E25" w:rsidP="00F75E27">
      <w:pPr>
        <w:pStyle w:val="Default"/>
        <w:spacing w:after="120"/>
        <w:jc w:val="both"/>
        <w:rPr>
          <w:rFonts w:asciiTheme="minorHAnsi" w:hAnsiTheme="minorHAnsi" w:cs="Times New Roman"/>
          <w:iCs/>
        </w:rPr>
      </w:pPr>
      <w:r w:rsidRPr="00665266">
        <w:rPr>
          <w:rFonts w:asciiTheme="minorHAnsi" w:hAnsiTheme="minorHAnsi" w:cs="Times New Roman"/>
        </w:rPr>
        <w:t xml:space="preserve">EMPG </w:t>
      </w:r>
      <w:r w:rsidR="000E1DF5">
        <w:rPr>
          <w:rFonts w:asciiTheme="minorHAnsi" w:hAnsiTheme="minorHAnsi" w:cs="Times New Roman"/>
        </w:rPr>
        <w:t>Subrecipient</w:t>
      </w:r>
      <w:r w:rsidRPr="00665266">
        <w:rPr>
          <w:rFonts w:asciiTheme="minorHAnsi" w:hAnsiTheme="minorHAnsi" w:cs="Times New Roman"/>
        </w:rPr>
        <w:t xml:space="preserve">s using funds for construction projects </w:t>
      </w:r>
      <w:r w:rsidRPr="00B90BC2">
        <w:rPr>
          <w:rFonts w:asciiTheme="minorHAnsi" w:hAnsiTheme="minorHAnsi" w:cs="Times New Roman"/>
          <w:b/>
          <w:i/>
          <w:u w:val="single"/>
        </w:rPr>
        <w:t>must</w:t>
      </w:r>
      <w:r w:rsidRPr="00665266">
        <w:rPr>
          <w:rFonts w:asciiTheme="minorHAnsi" w:hAnsiTheme="minorHAnsi" w:cs="Times New Roman"/>
        </w:rPr>
        <w:t xml:space="preserve"> comply with the </w:t>
      </w:r>
      <w:r w:rsidRPr="00665266">
        <w:rPr>
          <w:rFonts w:asciiTheme="minorHAnsi" w:hAnsiTheme="minorHAnsi" w:cs="Times New Roman"/>
          <w:i/>
          <w:iCs/>
        </w:rPr>
        <w:t xml:space="preserve">Davis-Bacon Act </w:t>
      </w:r>
      <w:r w:rsidRPr="00665266">
        <w:rPr>
          <w:rFonts w:asciiTheme="minorHAnsi" w:hAnsiTheme="minorHAnsi" w:cs="Times New Roman"/>
        </w:rPr>
        <w:t xml:space="preserve">(40 U.S.C. §§ 3141 </w:t>
      </w:r>
      <w:r w:rsidRPr="00665266">
        <w:rPr>
          <w:rFonts w:asciiTheme="minorHAnsi" w:hAnsiTheme="minorHAnsi" w:cs="Times New Roman"/>
          <w:i/>
          <w:iCs/>
        </w:rPr>
        <w:t>et seq</w:t>
      </w:r>
      <w:r w:rsidRPr="00665266">
        <w:rPr>
          <w:rFonts w:asciiTheme="minorHAnsi" w:hAnsiTheme="minorHAnsi" w:cs="Times New Roman"/>
        </w:rPr>
        <w:t xml:space="preserve">.). Grant recipients </w:t>
      </w:r>
      <w:r w:rsidRPr="00B90BC2">
        <w:rPr>
          <w:rFonts w:asciiTheme="minorHAnsi" w:hAnsiTheme="minorHAnsi" w:cs="Times New Roman"/>
          <w:b/>
          <w:i/>
          <w:u w:val="single"/>
        </w:rPr>
        <w:t>must</w:t>
      </w:r>
      <w:r w:rsidRPr="00665266">
        <w:rPr>
          <w:rFonts w:asciiTheme="minorHAnsi" w:hAnsiTheme="minorHAnsi" w:cs="Times New Roman"/>
        </w:rPr>
        <w:t xml:space="preserve"> ensure that their contractors or subcontractors for construction projects pay workers employed directly at the worksite no less than the prevailing wages and fringe benefits paid on projects of a similar character. Additional information, including Department of Labor (DOL) wage determinations, is available from the following website: </w:t>
      </w:r>
      <w:hyperlink r:id="rId26" w:history="1">
        <w:r w:rsidRPr="00665266">
          <w:rPr>
            <w:rStyle w:val="Hyperlink"/>
            <w:rFonts w:asciiTheme="minorHAnsi" w:hAnsiTheme="minorHAnsi" w:cs="Times New Roman"/>
            <w:iCs/>
          </w:rPr>
          <w:t>http://www.dol.gov/whd/govcontracts/dbra.htm</w:t>
        </w:r>
      </w:hyperlink>
      <w:r w:rsidR="00987CEC" w:rsidRPr="00665266">
        <w:rPr>
          <w:rStyle w:val="Hyperlink"/>
          <w:rFonts w:asciiTheme="minorHAnsi" w:hAnsiTheme="minorHAnsi" w:cs="Times New Roman"/>
          <w:iCs/>
        </w:rPr>
        <w:t>.</w:t>
      </w:r>
      <w:r w:rsidR="002956CA" w:rsidRPr="00665266">
        <w:rPr>
          <w:rFonts w:asciiTheme="minorHAnsi" w:hAnsiTheme="minorHAnsi" w:cs="Times New Roman"/>
          <w:iCs/>
        </w:rPr>
        <w:t xml:space="preserve"> </w:t>
      </w:r>
      <w:r w:rsidRPr="00665266">
        <w:rPr>
          <w:rFonts w:asciiTheme="minorHAnsi" w:hAnsiTheme="minorHAnsi" w:cs="Times New Roman"/>
          <w:iCs/>
        </w:rPr>
        <w:t xml:space="preserve"> </w:t>
      </w:r>
    </w:p>
    <w:p w:rsidR="00987CEC" w:rsidRPr="00665266" w:rsidRDefault="00987CEC" w:rsidP="00152460">
      <w:pPr>
        <w:pStyle w:val="Heading2"/>
      </w:pPr>
      <w:bookmarkStart w:id="20" w:name="_Toc480368186"/>
      <w:r w:rsidRPr="00665266">
        <w:t>Data Universal Numbering System</w:t>
      </w:r>
      <w:bookmarkEnd w:id="20"/>
      <w:r w:rsidRPr="00665266">
        <w:t xml:space="preserve"> </w:t>
      </w:r>
    </w:p>
    <w:p w:rsidR="00DD6CF3" w:rsidRDefault="00E71269" w:rsidP="00DD6CF3">
      <w:pPr>
        <w:pStyle w:val="Default"/>
        <w:jc w:val="both"/>
        <w:rPr>
          <w:rFonts w:asciiTheme="minorHAnsi" w:hAnsiTheme="minorHAnsi" w:cs="Times New Roman"/>
          <w:iCs/>
        </w:rPr>
      </w:pPr>
      <w:r w:rsidRPr="00E71269">
        <w:rPr>
          <w:rFonts w:asciiTheme="minorHAnsi" w:hAnsiTheme="minorHAnsi" w:cs="Times New Roman"/>
          <w:iCs/>
        </w:rPr>
        <w:t xml:space="preserve">A </w:t>
      </w:r>
      <w:r>
        <w:rPr>
          <w:rFonts w:asciiTheme="minorHAnsi" w:hAnsiTheme="minorHAnsi" w:cs="Times New Roman"/>
          <w:iCs/>
        </w:rPr>
        <w:t>Data Universal Numbering System (</w:t>
      </w:r>
      <w:r w:rsidRPr="00E71269">
        <w:rPr>
          <w:rFonts w:asciiTheme="minorHAnsi" w:hAnsiTheme="minorHAnsi" w:cs="Times New Roman"/>
          <w:iCs/>
        </w:rPr>
        <w:t>DUNS</w:t>
      </w:r>
      <w:r>
        <w:rPr>
          <w:rFonts w:asciiTheme="minorHAnsi" w:hAnsiTheme="minorHAnsi" w:cs="Times New Roman"/>
          <w:iCs/>
        </w:rPr>
        <w:t>)</w:t>
      </w:r>
      <w:r w:rsidRPr="00E71269">
        <w:rPr>
          <w:rFonts w:asciiTheme="minorHAnsi" w:hAnsiTheme="minorHAnsi" w:cs="Times New Roman"/>
          <w:iCs/>
        </w:rPr>
        <w:t xml:space="preserve"> number is a unique, non-indicative 9-digit identifier issued and maintained by </w:t>
      </w:r>
      <w:r>
        <w:rPr>
          <w:rFonts w:asciiTheme="minorHAnsi" w:hAnsiTheme="minorHAnsi" w:cs="Times New Roman"/>
          <w:iCs/>
        </w:rPr>
        <w:t>Dun &amp; Bradstreet (</w:t>
      </w:r>
      <w:r w:rsidRPr="00E71269">
        <w:rPr>
          <w:rFonts w:asciiTheme="minorHAnsi" w:hAnsiTheme="minorHAnsi" w:cs="Times New Roman"/>
          <w:iCs/>
        </w:rPr>
        <w:t>D&amp;B</w:t>
      </w:r>
      <w:r>
        <w:rPr>
          <w:rFonts w:asciiTheme="minorHAnsi" w:hAnsiTheme="minorHAnsi" w:cs="Times New Roman"/>
          <w:iCs/>
        </w:rPr>
        <w:t>)</w:t>
      </w:r>
      <w:r w:rsidRPr="00E71269">
        <w:rPr>
          <w:rFonts w:asciiTheme="minorHAnsi" w:hAnsiTheme="minorHAnsi" w:cs="Times New Roman"/>
          <w:iCs/>
        </w:rPr>
        <w:t xml:space="preserve"> that verifies the existence of a business entity globally. D&amp;B assigns DUNS numbers for each physical location of a business.</w:t>
      </w:r>
      <w:r>
        <w:rPr>
          <w:rFonts w:asciiTheme="minorHAnsi" w:hAnsiTheme="minorHAnsi" w:cs="Times New Roman"/>
          <w:iCs/>
        </w:rPr>
        <w:t xml:space="preserve"> The Subrecipient’s active DUNS number </w:t>
      </w:r>
      <w:r w:rsidR="003D1982" w:rsidRPr="00B90BC2">
        <w:rPr>
          <w:rFonts w:asciiTheme="minorHAnsi" w:hAnsiTheme="minorHAnsi" w:cs="Times New Roman"/>
          <w:b/>
          <w:i/>
          <w:iCs/>
          <w:u w:val="single"/>
        </w:rPr>
        <w:t>mu</w:t>
      </w:r>
      <w:r w:rsidR="00DD6CF3" w:rsidRPr="00B90BC2">
        <w:rPr>
          <w:rFonts w:asciiTheme="minorHAnsi" w:hAnsiTheme="minorHAnsi" w:cs="Times New Roman"/>
          <w:b/>
          <w:i/>
          <w:iCs/>
          <w:u w:val="single"/>
        </w:rPr>
        <w:t>st</w:t>
      </w:r>
      <w:r w:rsidR="00DD6CF3" w:rsidRPr="00665266">
        <w:rPr>
          <w:rFonts w:asciiTheme="minorHAnsi" w:hAnsiTheme="minorHAnsi" w:cs="Times New Roman"/>
          <w:iCs/>
        </w:rPr>
        <w:t xml:space="preserve"> </w:t>
      </w:r>
      <w:r>
        <w:rPr>
          <w:rFonts w:asciiTheme="minorHAnsi" w:hAnsiTheme="minorHAnsi" w:cs="Times New Roman"/>
          <w:iCs/>
        </w:rPr>
        <w:t>be provided</w:t>
      </w:r>
      <w:r w:rsidR="00DD6CF3" w:rsidRPr="00665266">
        <w:rPr>
          <w:rFonts w:asciiTheme="minorHAnsi" w:hAnsiTheme="minorHAnsi" w:cs="Times New Roman"/>
          <w:iCs/>
        </w:rPr>
        <w:t xml:space="preserve"> on the EMPG application</w:t>
      </w:r>
      <w:r>
        <w:rPr>
          <w:rFonts w:asciiTheme="minorHAnsi" w:hAnsiTheme="minorHAnsi" w:cs="Times New Roman"/>
          <w:iCs/>
        </w:rPr>
        <w:t xml:space="preserve"> and will be verified by the </w:t>
      </w:r>
      <w:r w:rsidR="00DD6CF3" w:rsidRPr="00665266">
        <w:rPr>
          <w:rFonts w:asciiTheme="minorHAnsi" w:hAnsiTheme="minorHAnsi" w:cs="Times New Roman"/>
          <w:iCs/>
        </w:rPr>
        <w:t xml:space="preserve">EMPG Program </w:t>
      </w:r>
      <w:r w:rsidR="000C3671" w:rsidRPr="00665266">
        <w:rPr>
          <w:rFonts w:asciiTheme="minorHAnsi" w:hAnsiTheme="minorHAnsi" w:cs="Times New Roman"/>
          <w:iCs/>
        </w:rPr>
        <w:t xml:space="preserve">Coordinator </w:t>
      </w:r>
      <w:r>
        <w:rPr>
          <w:rFonts w:asciiTheme="minorHAnsi" w:hAnsiTheme="minorHAnsi" w:cs="Times New Roman"/>
          <w:iCs/>
        </w:rPr>
        <w:t>through</w:t>
      </w:r>
      <w:r w:rsidR="003D1982" w:rsidRPr="00665266">
        <w:rPr>
          <w:rFonts w:asciiTheme="minorHAnsi" w:hAnsiTheme="minorHAnsi" w:cs="Times New Roman"/>
          <w:iCs/>
        </w:rPr>
        <w:t xml:space="preserve"> </w:t>
      </w:r>
      <w:hyperlink r:id="rId27" w:history="1">
        <w:r w:rsidR="00DD6CF3" w:rsidRPr="00665266">
          <w:rPr>
            <w:rStyle w:val="Hyperlink"/>
            <w:rFonts w:asciiTheme="minorHAnsi" w:hAnsiTheme="minorHAnsi" w:cs="Times New Roman"/>
            <w:iCs/>
          </w:rPr>
          <w:t>www.sam.gov</w:t>
        </w:r>
      </w:hyperlink>
      <w:r w:rsidR="00DD6CF3" w:rsidRPr="00665266">
        <w:rPr>
          <w:rFonts w:asciiTheme="minorHAnsi" w:hAnsiTheme="minorHAnsi" w:cs="Times New Roman"/>
          <w:iCs/>
        </w:rPr>
        <w:t>.</w:t>
      </w:r>
      <w:r w:rsidR="002956CA" w:rsidRPr="00665266">
        <w:rPr>
          <w:rFonts w:asciiTheme="minorHAnsi" w:hAnsiTheme="minorHAnsi" w:cs="Times New Roman"/>
          <w:iCs/>
        </w:rPr>
        <w:t xml:space="preserve"> </w:t>
      </w:r>
      <w:r w:rsidR="000E1DF5">
        <w:rPr>
          <w:rFonts w:asciiTheme="minorHAnsi" w:hAnsiTheme="minorHAnsi" w:cs="Times New Roman"/>
          <w:iCs/>
        </w:rPr>
        <w:t>Subrecipient</w:t>
      </w:r>
      <w:r w:rsidR="003D1982" w:rsidRPr="00665266">
        <w:rPr>
          <w:rFonts w:asciiTheme="minorHAnsi" w:hAnsiTheme="minorHAnsi" w:cs="Times New Roman"/>
          <w:iCs/>
        </w:rPr>
        <w:t xml:space="preserve">s should </w:t>
      </w:r>
      <w:r>
        <w:rPr>
          <w:rFonts w:asciiTheme="minorHAnsi" w:hAnsiTheme="minorHAnsi" w:cs="Times New Roman"/>
          <w:iCs/>
        </w:rPr>
        <w:t>confirm</w:t>
      </w:r>
      <w:r w:rsidR="003D1982" w:rsidRPr="00665266">
        <w:rPr>
          <w:rFonts w:asciiTheme="minorHAnsi" w:hAnsiTheme="minorHAnsi" w:cs="Times New Roman"/>
          <w:iCs/>
        </w:rPr>
        <w:t xml:space="preserve"> they have a DUNS number or take the steps necessary to obtain one, as soon as possible. </w:t>
      </w:r>
      <w:r w:rsidR="000E1DF5">
        <w:rPr>
          <w:rFonts w:asciiTheme="minorHAnsi" w:hAnsiTheme="minorHAnsi" w:cs="Times New Roman"/>
          <w:iCs/>
        </w:rPr>
        <w:t>Subrecipient</w:t>
      </w:r>
      <w:r w:rsidR="003D1982" w:rsidRPr="00665266">
        <w:rPr>
          <w:rFonts w:asciiTheme="minorHAnsi" w:hAnsiTheme="minorHAnsi" w:cs="Times New Roman"/>
          <w:iCs/>
        </w:rPr>
        <w:t>s can receive a DUNS number at no cost by calling the dedicated toll-free DUNS number request line at (866) 705-5711</w:t>
      </w:r>
      <w:r w:rsidR="000C3671" w:rsidRPr="00665266">
        <w:rPr>
          <w:rFonts w:asciiTheme="minorHAnsi" w:hAnsiTheme="minorHAnsi" w:cs="Times New Roman"/>
          <w:iCs/>
        </w:rPr>
        <w:t xml:space="preserve"> or by visiting the </w:t>
      </w:r>
      <w:hyperlink r:id="rId28" w:history="1">
        <w:r w:rsidR="000C3671" w:rsidRPr="00665266">
          <w:rPr>
            <w:rStyle w:val="Hyperlink"/>
            <w:rFonts w:asciiTheme="minorHAnsi" w:hAnsiTheme="minorHAnsi" w:cs="Times New Roman"/>
            <w:iCs/>
          </w:rPr>
          <w:t>Dun &amp; Bradstreet website</w:t>
        </w:r>
      </w:hyperlink>
      <w:r w:rsidR="003D1982" w:rsidRPr="00665266">
        <w:rPr>
          <w:rFonts w:asciiTheme="minorHAnsi" w:hAnsiTheme="minorHAnsi" w:cs="Times New Roman"/>
          <w:iCs/>
        </w:rPr>
        <w:t>.</w:t>
      </w:r>
    </w:p>
    <w:p w:rsidR="006212D8" w:rsidRPr="00665266" w:rsidRDefault="003F4E25" w:rsidP="00152460">
      <w:pPr>
        <w:pStyle w:val="Heading2"/>
      </w:pPr>
      <w:bookmarkStart w:id="21" w:name="_Toc480368187"/>
      <w:r w:rsidRPr="00665266">
        <w:lastRenderedPageBreak/>
        <w:t xml:space="preserve">Environmental Planning and Historic Preservation </w:t>
      </w:r>
      <w:r w:rsidR="004C0871">
        <w:t xml:space="preserve">(EHP) </w:t>
      </w:r>
      <w:r w:rsidRPr="00665266">
        <w:t>Compliance</w:t>
      </w:r>
      <w:bookmarkEnd w:id="21"/>
    </w:p>
    <w:p w:rsidR="00627BEC" w:rsidRPr="00665266" w:rsidRDefault="00627BEC" w:rsidP="00F75E27">
      <w:pPr>
        <w:pStyle w:val="Default"/>
        <w:spacing w:after="120"/>
        <w:jc w:val="both"/>
        <w:rPr>
          <w:rFonts w:asciiTheme="minorHAnsi" w:hAnsiTheme="minorHAnsi" w:cs="Times New Roman"/>
        </w:rPr>
      </w:pPr>
      <w:r w:rsidRPr="00665266">
        <w:rPr>
          <w:rFonts w:asciiTheme="minorHAnsi" w:hAnsiTheme="minorHAnsi" w:cs="Times New Roman"/>
        </w:rPr>
        <w:t>FEMA is required to consider the effects of its actions on the environment and/or historic properties to ensure that all activities and pro</w:t>
      </w:r>
      <w:r w:rsidR="00EE64E0" w:rsidRPr="00665266">
        <w:rPr>
          <w:rFonts w:asciiTheme="minorHAnsi" w:hAnsiTheme="minorHAnsi" w:cs="Times New Roman"/>
        </w:rPr>
        <w:t>jects</w:t>
      </w:r>
      <w:r w:rsidRPr="00665266">
        <w:rPr>
          <w:rFonts w:asciiTheme="minorHAnsi" w:hAnsiTheme="minorHAnsi" w:cs="Times New Roman"/>
        </w:rPr>
        <w:t xml:space="preserve"> funded</w:t>
      </w:r>
      <w:r w:rsidR="00EE64E0" w:rsidRPr="00665266">
        <w:rPr>
          <w:rFonts w:asciiTheme="minorHAnsi" w:hAnsiTheme="minorHAnsi" w:cs="Times New Roman"/>
        </w:rPr>
        <w:t xml:space="preserve"> by this grant program </w:t>
      </w:r>
      <w:r w:rsidRPr="00665266">
        <w:rPr>
          <w:rFonts w:asciiTheme="minorHAnsi" w:hAnsiTheme="minorHAnsi" w:cs="Times New Roman"/>
        </w:rPr>
        <w:t xml:space="preserve">comply with Federal </w:t>
      </w:r>
      <w:r w:rsidR="00105568">
        <w:rPr>
          <w:rFonts w:asciiTheme="minorHAnsi" w:hAnsiTheme="minorHAnsi" w:cs="Times New Roman"/>
        </w:rPr>
        <w:t>Environmental Planning and Historic Preservation (</w:t>
      </w:r>
      <w:r w:rsidRPr="00665266">
        <w:rPr>
          <w:rFonts w:asciiTheme="minorHAnsi" w:hAnsiTheme="minorHAnsi" w:cs="Times New Roman"/>
        </w:rPr>
        <w:t>EHP</w:t>
      </w:r>
      <w:r w:rsidR="00105568">
        <w:rPr>
          <w:rFonts w:asciiTheme="minorHAnsi" w:hAnsiTheme="minorHAnsi" w:cs="Times New Roman"/>
        </w:rPr>
        <w:t>)</w:t>
      </w:r>
      <w:r w:rsidRPr="00665266">
        <w:rPr>
          <w:rFonts w:asciiTheme="minorHAnsi" w:hAnsiTheme="minorHAnsi" w:cs="Times New Roman"/>
        </w:rPr>
        <w:t xml:space="preserve"> regulations, laws and Executive Orders</w:t>
      </w:r>
      <w:r w:rsidR="00821FF7" w:rsidRPr="00665266">
        <w:rPr>
          <w:rFonts w:asciiTheme="minorHAnsi" w:hAnsiTheme="minorHAnsi" w:cs="Times New Roman"/>
        </w:rPr>
        <w:t>,</w:t>
      </w:r>
      <w:r w:rsidRPr="00665266">
        <w:rPr>
          <w:rFonts w:asciiTheme="minorHAnsi" w:hAnsiTheme="minorHAnsi" w:cs="Times New Roman"/>
        </w:rPr>
        <w:t xml:space="preserve"> as applicable. </w:t>
      </w:r>
    </w:p>
    <w:p w:rsidR="003F4E25" w:rsidRPr="00665266" w:rsidRDefault="00DD7144" w:rsidP="00F75E27">
      <w:pPr>
        <w:pStyle w:val="Default"/>
        <w:spacing w:after="120"/>
        <w:jc w:val="both"/>
        <w:rPr>
          <w:rFonts w:asciiTheme="minorHAnsi" w:hAnsiTheme="minorHAnsi" w:cs="Times New Roman"/>
        </w:rPr>
      </w:pPr>
      <w:r w:rsidRPr="00665266">
        <w:rPr>
          <w:rFonts w:asciiTheme="minorHAnsi" w:hAnsiTheme="minorHAnsi" w:cs="Times New Roman"/>
        </w:rPr>
        <w:t>Applicants</w:t>
      </w:r>
      <w:r w:rsidR="00627BEC" w:rsidRPr="00665266">
        <w:rPr>
          <w:rFonts w:asciiTheme="minorHAnsi" w:hAnsiTheme="minorHAnsi" w:cs="Times New Roman"/>
        </w:rPr>
        <w:t xml:space="preserve"> proposing projects that have the potential to impact the environment, including</w:t>
      </w:r>
      <w:r w:rsidR="009F00F2" w:rsidRPr="00665266">
        <w:rPr>
          <w:rFonts w:asciiTheme="minorHAnsi" w:hAnsiTheme="minorHAnsi" w:cs="Times New Roman"/>
        </w:rPr>
        <w:t>,</w:t>
      </w:r>
      <w:r w:rsidR="00627BEC" w:rsidRPr="00665266">
        <w:rPr>
          <w:rFonts w:asciiTheme="minorHAnsi" w:hAnsiTheme="minorHAnsi" w:cs="Times New Roman"/>
        </w:rPr>
        <w:t xml:space="preserve"> but not limited to</w:t>
      </w:r>
      <w:r w:rsidR="007371FF">
        <w:rPr>
          <w:rFonts w:asciiTheme="minorHAnsi" w:hAnsiTheme="minorHAnsi" w:cs="Times New Roman"/>
        </w:rPr>
        <w:t>,</w:t>
      </w:r>
      <w:r w:rsidR="009F00F2" w:rsidRPr="00665266">
        <w:rPr>
          <w:rFonts w:asciiTheme="minorHAnsi" w:hAnsiTheme="minorHAnsi" w:cs="Times New Roman"/>
        </w:rPr>
        <w:t xml:space="preserve"> </w:t>
      </w:r>
      <w:r w:rsidR="007371FF">
        <w:rPr>
          <w:rFonts w:asciiTheme="minorHAnsi" w:hAnsiTheme="minorHAnsi" w:cs="Times New Roman"/>
        </w:rPr>
        <w:t xml:space="preserve">generator installations, </w:t>
      </w:r>
      <w:r w:rsidR="00627BEC" w:rsidRPr="00665266">
        <w:rPr>
          <w:rFonts w:asciiTheme="minorHAnsi" w:hAnsiTheme="minorHAnsi" w:cs="Times New Roman"/>
        </w:rPr>
        <w:t>constr</w:t>
      </w:r>
      <w:r w:rsidR="009F00F2" w:rsidRPr="00665266">
        <w:rPr>
          <w:rFonts w:asciiTheme="minorHAnsi" w:hAnsiTheme="minorHAnsi" w:cs="Times New Roman"/>
        </w:rPr>
        <w:t>uction of communication towers</w:t>
      </w:r>
      <w:r w:rsidR="007371FF">
        <w:rPr>
          <w:rFonts w:asciiTheme="minorHAnsi" w:hAnsiTheme="minorHAnsi" w:cs="Times New Roman"/>
        </w:rPr>
        <w:t xml:space="preserve">, </w:t>
      </w:r>
      <w:r w:rsidR="00627BEC" w:rsidRPr="00665266">
        <w:rPr>
          <w:rFonts w:asciiTheme="minorHAnsi" w:hAnsiTheme="minorHAnsi" w:cs="Times New Roman"/>
        </w:rPr>
        <w:t xml:space="preserve">modification </w:t>
      </w:r>
      <w:r w:rsidR="00821FF7" w:rsidRPr="00665266">
        <w:rPr>
          <w:rFonts w:asciiTheme="minorHAnsi" w:hAnsiTheme="minorHAnsi" w:cs="Times New Roman"/>
        </w:rPr>
        <w:t>of</w:t>
      </w:r>
      <w:r w:rsidR="00627BEC" w:rsidRPr="00665266">
        <w:rPr>
          <w:rFonts w:asciiTheme="minorHAnsi" w:hAnsiTheme="minorHAnsi" w:cs="Times New Roman"/>
        </w:rPr>
        <w:t xml:space="preserve"> existing buildings, structures and facilities </w:t>
      </w:r>
      <w:r w:rsidR="007371FF">
        <w:rPr>
          <w:rFonts w:asciiTheme="minorHAnsi" w:hAnsiTheme="minorHAnsi" w:cs="Times New Roman"/>
        </w:rPr>
        <w:t xml:space="preserve">(i.e., installing security cameras or overhead projectors) </w:t>
      </w:r>
      <w:r w:rsidR="00627BEC" w:rsidRPr="00B90BC2">
        <w:rPr>
          <w:rFonts w:asciiTheme="minorHAnsi" w:hAnsiTheme="minorHAnsi" w:cs="Times New Roman"/>
          <w:b/>
          <w:i/>
          <w:u w:val="single"/>
        </w:rPr>
        <w:t>must</w:t>
      </w:r>
      <w:r w:rsidR="00627BEC" w:rsidRPr="00665266">
        <w:rPr>
          <w:rFonts w:asciiTheme="minorHAnsi" w:hAnsiTheme="minorHAnsi" w:cs="Times New Roman"/>
        </w:rPr>
        <w:t xml:space="preserve"> participate in the FEMA EHP review process. The EHP review process involves the submission of a detailed project description that explains the goals and objectives of the proposed project along with supporting documentation so that FEMA may determine whether the proposed project has the potential to impact environmental resources and/or historic properties. In some cases, FEMA also is required to consult with other regulatory agencies and the public in order to complete the review process. The EHP review process </w:t>
      </w:r>
      <w:r w:rsidR="00627BEC" w:rsidRPr="00B90BC2">
        <w:rPr>
          <w:rFonts w:asciiTheme="minorHAnsi" w:hAnsiTheme="minorHAnsi" w:cs="Times New Roman"/>
          <w:b/>
          <w:i/>
          <w:u w:val="single"/>
        </w:rPr>
        <w:t>must</w:t>
      </w:r>
      <w:r w:rsidR="00627BEC" w:rsidRPr="00B90BC2">
        <w:rPr>
          <w:rFonts w:asciiTheme="minorHAnsi" w:hAnsiTheme="minorHAnsi" w:cs="Times New Roman"/>
          <w:i/>
          <w:u w:val="single"/>
        </w:rPr>
        <w:t xml:space="preserve"> </w:t>
      </w:r>
      <w:r w:rsidR="00627BEC" w:rsidRPr="00B90BC2">
        <w:rPr>
          <w:rFonts w:asciiTheme="minorHAnsi" w:hAnsiTheme="minorHAnsi" w:cs="Times New Roman"/>
          <w:b/>
          <w:i/>
          <w:u w:val="single"/>
        </w:rPr>
        <w:t>be completed and approved before</w:t>
      </w:r>
      <w:r w:rsidR="00627BEC" w:rsidRPr="00665266">
        <w:rPr>
          <w:rFonts w:asciiTheme="minorHAnsi" w:hAnsiTheme="minorHAnsi" w:cs="Times New Roman"/>
          <w:b/>
        </w:rPr>
        <w:t xml:space="preserve"> </w:t>
      </w:r>
      <w:r w:rsidR="00627BEC" w:rsidRPr="00665266">
        <w:rPr>
          <w:rFonts w:asciiTheme="minorHAnsi" w:hAnsiTheme="minorHAnsi" w:cs="Times New Roman"/>
        </w:rPr>
        <w:t xml:space="preserve">funds are released to carry out the proposed project. FEMA will not fund projects that are initiated without the required EHP review. </w:t>
      </w:r>
      <w:r w:rsidR="003F4E25" w:rsidRPr="00665266">
        <w:rPr>
          <w:rFonts w:asciiTheme="minorHAnsi" w:hAnsiTheme="minorHAnsi" w:cs="Times New Roman"/>
        </w:rPr>
        <w:t xml:space="preserve">If the project is started prior to EHP approval, the project will be considered </w:t>
      </w:r>
      <w:r w:rsidR="003F4E25" w:rsidRPr="00665266">
        <w:rPr>
          <w:rFonts w:asciiTheme="minorHAnsi" w:hAnsiTheme="minorHAnsi" w:cs="Times New Roman"/>
          <w:b/>
          <w:u w:val="single"/>
        </w:rPr>
        <w:t>non-compliant</w:t>
      </w:r>
      <w:r w:rsidR="003F4E25" w:rsidRPr="00665266">
        <w:rPr>
          <w:rFonts w:asciiTheme="minorHAnsi" w:hAnsiTheme="minorHAnsi" w:cs="Times New Roman"/>
        </w:rPr>
        <w:t xml:space="preserve"> and receipt of FEMA grant funds will be jeopardized.</w:t>
      </w:r>
      <w:r w:rsidR="002956CA" w:rsidRPr="00665266">
        <w:rPr>
          <w:rFonts w:asciiTheme="minorHAnsi" w:hAnsiTheme="minorHAnsi" w:cs="Times New Roman"/>
        </w:rPr>
        <w:t xml:space="preserve"> </w:t>
      </w:r>
    </w:p>
    <w:p w:rsidR="00627BEC" w:rsidRPr="00174312" w:rsidRDefault="00015306" w:rsidP="00F75E27">
      <w:pPr>
        <w:pStyle w:val="Default"/>
        <w:spacing w:after="120"/>
        <w:jc w:val="both"/>
        <w:rPr>
          <w:rFonts w:asciiTheme="minorHAnsi" w:hAnsiTheme="minorHAnsi" w:cs="Times New Roman"/>
        </w:rPr>
      </w:pPr>
      <w:r w:rsidRPr="00665266">
        <w:rPr>
          <w:rFonts w:asciiTheme="minorHAnsi" w:hAnsiTheme="minorHAnsi" w:cs="Times New Roman"/>
        </w:rPr>
        <w:t xml:space="preserve">Additionally, all </w:t>
      </w:r>
      <w:r w:rsidR="000E1DF5">
        <w:rPr>
          <w:rFonts w:asciiTheme="minorHAnsi" w:hAnsiTheme="minorHAnsi" w:cs="Times New Roman"/>
        </w:rPr>
        <w:t>Subrecipient</w:t>
      </w:r>
      <w:r w:rsidRPr="00665266">
        <w:rPr>
          <w:rFonts w:asciiTheme="minorHAnsi" w:hAnsiTheme="minorHAnsi" w:cs="Times New Roman"/>
        </w:rPr>
        <w:t xml:space="preserve">s are required to comply with FEMA EHP Policy Guidance. This EHP Policy Guidance can be found in </w:t>
      </w:r>
      <w:hyperlink r:id="rId29" w:history="1">
        <w:r w:rsidRPr="00665266">
          <w:rPr>
            <w:rStyle w:val="Hyperlink"/>
            <w:rFonts w:asciiTheme="minorHAnsi" w:hAnsiTheme="minorHAnsi" w:cs="Times New Roman"/>
            <w:i/>
          </w:rPr>
          <w:t>FP 108-023-1, Environmental Planning and Historic Preservation Policy Guidance</w:t>
        </w:r>
        <w:r w:rsidRPr="00665266">
          <w:rPr>
            <w:rStyle w:val="Hyperlink"/>
            <w:rFonts w:asciiTheme="minorHAnsi" w:hAnsiTheme="minorHAnsi" w:cs="Times New Roman"/>
          </w:rPr>
          <w:t xml:space="preserve">, and </w:t>
        </w:r>
        <w:r w:rsidRPr="00665266">
          <w:rPr>
            <w:rStyle w:val="Hyperlink"/>
            <w:rFonts w:asciiTheme="minorHAnsi" w:hAnsiTheme="minorHAnsi" w:cs="Times New Roman"/>
            <w:i/>
          </w:rPr>
          <w:t>FP 108.24.4, Environmental Planning and Historical Preservation Policy</w:t>
        </w:r>
      </w:hyperlink>
      <w:r w:rsidRPr="00665266">
        <w:rPr>
          <w:rFonts w:asciiTheme="minorHAnsi" w:hAnsiTheme="minorHAnsi" w:cs="Times New Roman"/>
          <w:i/>
        </w:rPr>
        <w:t>.</w:t>
      </w:r>
      <w:r w:rsidR="00174312">
        <w:rPr>
          <w:rFonts w:asciiTheme="minorHAnsi" w:hAnsiTheme="minorHAnsi" w:cs="Times New Roman"/>
          <w:i/>
        </w:rPr>
        <w:t xml:space="preserve">  </w:t>
      </w:r>
      <w:r w:rsidR="00174312" w:rsidRPr="00174312">
        <w:rPr>
          <w:rFonts w:asciiTheme="minorHAnsi" w:hAnsiTheme="minorHAnsi" w:cs="Times New Roman"/>
        </w:rPr>
        <w:t>Other supporting documentation</w:t>
      </w:r>
      <w:r w:rsidR="00174312">
        <w:rPr>
          <w:rFonts w:asciiTheme="minorHAnsi" w:hAnsiTheme="minorHAnsi" w:cs="Times New Roman"/>
        </w:rPr>
        <w:t xml:space="preserve">, including the EHP Screening Form, </w:t>
      </w:r>
      <w:r w:rsidR="00174312" w:rsidRPr="00174312">
        <w:rPr>
          <w:rFonts w:asciiTheme="minorHAnsi" w:hAnsiTheme="minorHAnsi" w:cs="Times New Roman"/>
        </w:rPr>
        <w:t>is provided in HSEM’s Resource Center at:</w:t>
      </w:r>
      <w:r w:rsidR="00174312">
        <w:rPr>
          <w:rFonts w:asciiTheme="minorHAnsi" w:hAnsiTheme="minorHAnsi" w:cs="Times New Roman"/>
          <w:i/>
        </w:rPr>
        <w:t xml:space="preserve"> </w:t>
      </w:r>
      <w:hyperlink r:id="rId30" w:history="1">
        <w:r w:rsidR="00174312" w:rsidRPr="00F43C3C">
          <w:rPr>
            <w:rStyle w:val="Hyperlink"/>
            <w:rFonts w:asciiTheme="minorHAnsi" w:hAnsiTheme="minorHAnsi" w:cs="Times New Roman"/>
          </w:rPr>
          <w:t>https://apps.nh.gov/blogs/hsem/?page_id=419</w:t>
        </w:r>
      </w:hyperlink>
      <w:r w:rsidR="00174312">
        <w:rPr>
          <w:rFonts w:asciiTheme="minorHAnsi" w:hAnsiTheme="minorHAnsi" w:cs="Times New Roman"/>
        </w:rPr>
        <w:t xml:space="preserve"> </w:t>
      </w:r>
      <w:r w:rsidR="00174312" w:rsidRPr="00174312">
        <w:rPr>
          <w:rFonts w:asciiTheme="minorHAnsi" w:hAnsiTheme="minorHAnsi" w:cs="Times New Roman"/>
        </w:rPr>
        <w:t xml:space="preserve"> </w:t>
      </w:r>
    </w:p>
    <w:p w:rsidR="003F4E25" w:rsidRPr="00665266" w:rsidRDefault="003F4E25" w:rsidP="00F75E27">
      <w:pPr>
        <w:pStyle w:val="Default"/>
        <w:spacing w:after="120"/>
        <w:jc w:val="both"/>
        <w:rPr>
          <w:rFonts w:asciiTheme="minorHAnsi" w:hAnsiTheme="minorHAnsi" w:cs="Times New Roman"/>
        </w:rPr>
      </w:pPr>
      <w:r w:rsidRPr="00665266">
        <w:rPr>
          <w:rFonts w:asciiTheme="minorHAnsi" w:hAnsiTheme="minorHAnsi" w:cs="Times New Roman"/>
        </w:rPr>
        <w:t xml:space="preserve">When applying for funds to construct </w:t>
      </w:r>
      <w:r w:rsidRPr="00665266">
        <w:rPr>
          <w:rFonts w:asciiTheme="minorHAnsi" w:hAnsiTheme="minorHAnsi" w:cs="Times New Roman"/>
          <w:b/>
        </w:rPr>
        <w:t>communication towers</w:t>
      </w:r>
      <w:r w:rsidRPr="00665266">
        <w:rPr>
          <w:rFonts w:asciiTheme="minorHAnsi" w:hAnsiTheme="minorHAnsi" w:cs="Times New Roman"/>
        </w:rPr>
        <w:t xml:space="preserve">, </w:t>
      </w:r>
      <w:r w:rsidR="00DD7144" w:rsidRPr="00665266">
        <w:rPr>
          <w:rFonts w:asciiTheme="minorHAnsi" w:hAnsiTheme="minorHAnsi" w:cs="Times New Roman"/>
        </w:rPr>
        <w:t>applicant</w:t>
      </w:r>
      <w:r w:rsidRPr="00665266">
        <w:rPr>
          <w:rFonts w:asciiTheme="minorHAnsi" w:hAnsiTheme="minorHAnsi" w:cs="Times New Roman"/>
        </w:rPr>
        <w:t xml:space="preserve">s </w:t>
      </w:r>
      <w:r w:rsidRPr="00B90BC2">
        <w:rPr>
          <w:rFonts w:asciiTheme="minorHAnsi" w:hAnsiTheme="minorHAnsi" w:cs="Times New Roman"/>
          <w:b/>
          <w:i/>
          <w:u w:val="single"/>
        </w:rPr>
        <w:t>must</w:t>
      </w:r>
      <w:r w:rsidRPr="00B90BC2">
        <w:rPr>
          <w:rFonts w:asciiTheme="minorHAnsi" w:hAnsiTheme="minorHAnsi" w:cs="Times New Roman"/>
        </w:rPr>
        <w:t xml:space="preserve"> </w:t>
      </w:r>
      <w:r w:rsidRPr="00665266">
        <w:rPr>
          <w:rFonts w:asciiTheme="minorHAnsi" w:hAnsiTheme="minorHAnsi" w:cs="Times New Roman"/>
        </w:rPr>
        <w:t xml:space="preserve">submit evidence that the Federal Communications Commission’s (FCC) Section 106 review process has been completed and </w:t>
      </w:r>
      <w:r w:rsidR="00605BE4" w:rsidRPr="00665266">
        <w:rPr>
          <w:rFonts w:asciiTheme="minorHAnsi" w:hAnsiTheme="minorHAnsi" w:cs="Times New Roman"/>
        </w:rPr>
        <w:t>upload</w:t>
      </w:r>
      <w:r w:rsidRPr="00665266">
        <w:rPr>
          <w:rFonts w:asciiTheme="minorHAnsi" w:hAnsiTheme="minorHAnsi" w:cs="Times New Roman"/>
        </w:rPr>
        <w:t xml:space="preserve"> all documentation resulting from that review into their online EMPG application.</w:t>
      </w:r>
      <w:r w:rsidR="002956CA" w:rsidRPr="00665266">
        <w:rPr>
          <w:rFonts w:asciiTheme="minorHAnsi" w:hAnsiTheme="minorHAnsi" w:cs="Times New Roman"/>
        </w:rPr>
        <w:t xml:space="preserve"> </w:t>
      </w:r>
      <w:r w:rsidRPr="00665266">
        <w:rPr>
          <w:rFonts w:asciiTheme="minorHAnsi" w:hAnsiTheme="minorHAnsi" w:cs="Times New Roman"/>
        </w:rPr>
        <w:t>Applicants are also enc</w:t>
      </w:r>
      <w:r w:rsidR="00605BE4" w:rsidRPr="00665266">
        <w:rPr>
          <w:rFonts w:asciiTheme="minorHAnsi" w:hAnsiTheme="minorHAnsi" w:cs="Times New Roman"/>
        </w:rPr>
        <w:t>ouraged to coordinate with the</w:t>
      </w:r>
      <w:r w:rsidRPr="00665266">
        <w:rPr>
          <w:rFonts w:asciiTheme="minorHAnsi" w:hAnsiTheme="minorHAnsi" w:cs="Times New Roman"/>
        </w:rPr>
        <w:t xml:space="preserve"> State Historic Preservation Office (SHPO) to identify potential historic preservation issues</w:t>
      </w:r>
      <w:r w:rsidR="00453F93" w:rsidRPr="00665266">
        <w:rPr>
          <w:rFonts w:asciiTheme="minorHAnsi" w:hAnsiTheme="minorHAnsi" w:cs="Times New Roman"/>
        </w:rPr>
        <w:t>.</w:t>
      </w:r>
      <w:r w:rsidRPr="00665266">
        <w:rPr>
          <w:rFonts w:asciiTheme="minorHAnsi" w:hAnsiTheme="minorHAnsi" w:cs="Times New Roman"/>
        </w:rPr>
        <w:t xml:space="preserve"> All required EHP review documentation is to be submitted at time of application. Contact your HSEM Field Representative for assistance, if needed.</w:t>
      </w:r>
    </w:p>
    <w:p w:rsidR="00015306" w:rsidRPr="00665266" w:rsidRDefault="00015306" w:rsidP="00152460">
      <w:pPr>
        <w:pStyle w:val="Heading2"/>
        <w:rPr>
          <w:shd w:val="clear" w:color="auto" w:fill="736454"/>
        </w:rPr>
      </w:pPr>
      <w:bookmarkStart w:id="22" w:name="_Toc480368188"/>
      <w:r w:rsidRPr="00152460">
        <w:t>Excluded Parties List</w:t>
      </w:r>
      <w:r w:rsidR="00C16C53" w:rsidRPr="00152460">
        <w:t xml:space="preserve"> System</w:t>
      </w:r>
      <w:bookmarkEnd w:id="22"/>
      <w:r w:rsidR="00C16C53" w:rsidRPr="00152460">
        <w:t xml:space="preserve"> </w:t>
      </w:r>
    </w:p>
    <w:p w:rsidR="00DB1B53" w:rsidRPr="002D3C6D" w:rsidRDefault="003F4E25" w:rsidP="002D3C6D">
      <w:pPr>
        <w:autoSpaceDE w:val="0"/>
        <w:autoSpaceDN w:val="0"/>
        <w:adjustRightInd w:val="0"/>
        <w:rPr>
          <w:sz w:val="20"/>
          <w:szCs w:val="20"/>
        </w:rPr>
      </w:pPr>
      <w:r w:rsidRPr="00665266">
        <w:t xml:space="preserve">Applicants are </w:t>
      </w:r>
      <w:r w:rsidRPr="00665266">
        <w:rPr>
          <w:b/>
          <w:i/>
          <w:u w:val="single"/>
        </w:rPr>
        <w:t>required</w:t>
      </w:r>
      <w:r w:rsidRPr="00665266">
        <w:t xml:space="preserve"> to confirm and certify that any and all vendors, contractors, or sub-contractors being used for the proposed project(s) are not listed on the Excluded Parties</w:t>
      </w:r>
      <w:r w:rsidR="00B9655C" w:rsidRPr="00665266">
        <w:t xml:space="preserve"> </w:t>
      </w:r>
      <w:r w:rsidR="00C16C53" w:rsidRPr="00665266">
        <w:t xml:space="preserve">List </w:t>
      </w:r>
      <w:r w:rsidR="00B9655C" w:rsidRPr="00665266">
        <w:t xml:space="preserve">System </w:t>
      </w:r>
      <w:r w:rsidR="00C16C53" w:rsidRPr="00665266">
        <w:t xml:space="preserve">(EPLS) </w:t>
      </w:r>
      <w:r w:rsidR="00B9655C" w:rsidRPr="00665266">
        <w:t xml:space="preserve">located on </w:t>
      </w:r>
      <w:hyperlink r:id="rId31" w:history="1">
        <w:r w:rsidR="005D2DDD" w:rsidRPr="00F16DB0">
          <w:rPr>
            <w:rStyle w:val="Hyperlink"/>
          </w:rPr>
          <w:t>www.SAM.gov</w:t>
        </w:r>
      </w:hyperlink>
      <w:r w:rsidR="00C16C53" w:rsidRPr="00665266">
        <w:t>.</w:t>
      </w:r>
      <w:r w:rsidR="005D2DDD">
        <w:t xml:space="preserve"> </w:t>
      </w:r>
      <w:r w:rsidR="00C16C53" w:rsidRPr="00665266">
        <w:t>For further information on the EPLS, refer to the following fact sheet:</w:t>
      </w:r>
      <w:r w:rsidR="00E00F71">
        <w:t xml:space="preserve"> </w:t>
      </w:r>
      <w:hyperlink r:id="rId32" w:history="1">
        <w:r w:rsidR="00C16C53" w:rsidRPr="002D3C6D">
          <w:rPr>
            <w:rStyle w:val="Hyperlink"/>
            <w:sz w:val="22"/>
            <w:szCs w:val="22"/>
          </w:rPr>
          <w:t>https://www.sam.gov/sam/transcript/Public_-_Identifying_Excluded_Entities.pdf</w:t>
        </w:r>
      </w:hyperlink>
      <w:r w:rsidR="00C16C53" w:rsidRPr="002D3C6D">
        <w:rPr>
          <w:sz w:val="20"/>
          <w:szCs w:val="20"/>
        </w:rPr>
        <w:t xml:space="preserve"> </w:t>
      </w:r>
    </w:p>
    <w:p w:rsidR="00DB1B53" w:rsidRPr="00665266" w:rsidRDefault="00DB1B53" w:rsidP="00152460">
      <w:pPr>
        <w:pStyle w:val="Heading2"/>
      </w:pPr>
      <w:bookmarkStart w:id="23" w:name="_Toc480368189"/>
      <w:r w:rsidRPr="00665266">
        <w:t>Extension Requests</w:t>
      </w:r>
      <w:bookmarkEnd w:id="23"/>
    </w:p>
    <w:p w:rsidR="00DB1B53" w:rsidRPr="00665266" w:rsidRDefault="00187D36" w:rsidP="00DB1B53">
      <w:pPr>
        <w:autoSpaceDE w:val="0"/>
        <w:autoSpaceDN w:val="0"/>
        <w:adjustRightInd w:val="0"/>
        <w:rPr>
          <w:bCs/>
          <w:iCs/>
          <w:color w:val="000000" w:themeColor="text1"/>
        </w:rPr>
      </w:pPr>
      <w:r w:rsidRPr="00665266">
        <w:rPr>
          <w:b/>
        </w:rPr>
        <w:t xml:space="preserve">Applicants should </w:t>
      </w:r>
      <w:r w:rsidRPr="00187D36">
        <w:rPr>
          <w:b/>
          <w:u w:val="single"/>
        </w:rPr>
        <w:t>only</w:t>
      </w:r>
      <w:r w:rsidRPr="00187D36">
        <w:rPr>
          <w:b/>
        </w:rPr>
        <w:t xml:space="preserve"> </w:t>
      </w:r>
      <w:r w:rsidRPr="00665266">
        <w:rPr>
          <w:b/>
        </w:rPr>
        <w:t>propose projects that will be completed within the performance period.</w:t>
      </w:r>
      <w:r>
        <w:rPr>
          <w:b/>
        </w:rPr>
        <w:t xml:space="preserve">  </w:t>
      </w:r>
      <w:r w:rsidR="005D2DDD">
        <w:t>E</w:t>
      </w:r>
      <w:r w:rsidR="005D2DDD" w:rsidRPr="00665266">
        <w:t>xtensions to the period of performance may be considered by HSEM when</w:t>
      </w:r>
      <w:r w:rsidR="005D2DDD">
        <w:t xml:space="preserve"> (</w:t>
      </w:r>
      <w:r w:rsidR="005D2DDD" w:rsidRPr="00665266">
        <w:t xml:space="preserve">due to circumstances beyond the control of the </w:t>
      </w:r>
      <w:r w:rsidR="005D2DDD">
        <w:t>Subrecipient)</w:t>
      </w:r>
      <w:r w:rsidR="005D2DDD" w:rsidRPr="00665266">
        <w:t xml:space="preserve"> activities associated with the award cannot be completed within the stated performance period. The </w:t>
      </w:r>
      <w:r w:rsidR="005D2DDD">
        <w:t>Subrecipient</w:t>
      </w:r>
      <w:r w:rsidR="005D2DDD" w:rsidRPr="00665266">
        <w:t xml:space="preserve"> should request </w:t>
      </w:r>
      <w:r w:rsidR="005D2DDD" w:rsidRPr="00665266">
        <w:lastRenderedPageBreak/>
        <w:t xml:space="preserve">an extension in writing at least 3 months prior to the grant’s expiration date </w:t>
      </w:r>
      <w:r w:rsidR="005D2DDD">
        <w:t>explaining</w:t>
      </w:r>
      <w:r w:rsidR="005D2DDD" w:rsidRPr="00665266">
        <w:t xml:space="preserve"> why the project could not be completed within the established deadline. Grant extensions are done on a case-by-case basis and approved by the EMPG Program Manager</w:t>
      </w:r>
      <w:r w:rsidR="00342D1B">
        <w:t xml:space="preserve"> and/or the HSEM Director</w:t>
      </w:r>
      <w:r w:rsidR="005D2DDD" w:rsidRPr="00665266">
        <w:t xml:space="preserve">. </w:t>
      </w:r>
    </w:p>
    <w:p w:rsidR="00DB1B53" w:rsidRPr="00665266" w:rsidRDefault="00DB1B53" w:rsidP="00152460">
      <w:pPr>
        <w:pStyle w:val="Heading2"/>
      </w:pPr>
      <w:bookmarkStart w:id="24" w:name="_Toc480368190"/>
      <w:r w:rsidRPr="00665266">
        <w:t>Matching Funds</w:t>
      </w:r>
      <w:bookmarkEnd w:id="24"/>
    </w:p>
    <w:p w:rsidR="00DB1B53" w:rsidRPr="00665266" w:rsidRDefault="00DB1B53" w:rsidP="00DB1B53">
      <w:pPr>
        <w:pStyle w:val="Default"/>
        <w:spacing w:after="120"/>
        <w:jc w:val="both"/>
        <w:rPr>
          <w:rFonts w:asciiTheme="minorHAnsi" w:hAnsiTheme="minorHAnsi" w:cs="Times New Roman"/>
        </w:rPr>
      </w:pPr>
      <w:r w:rsidRPr="00665266">
        <w:rPr>
          <w:rFonts w:asciiTheme="minorHAnsi" w:hAnsiTheme="minorHAnsi" w:cs="Times New Roman"/>
        </w:rPr>
        <w:t xml:space="preserve">The EMPG Program has a </w:t>
      </w:r>
      <w:r w:rsidRPr="00665266">
        <w:rPr>
          <w:rFonts w:asciiTheme="minorHAnsi" w:hAnsiTheme="minorHAnsi" w:cs="Times New Roman"/>
          <w:b/>
        </w:rPr>
        <w:t>50% Federal</w:t>
      </w:r>
      <w:r w:rsidRPr="00665266">
        <w:rPr>
          <w:rFonts w:asciiTheme="minorHAnsi" w:hAnsiTheme="minorHAnsi" w:cs="Times New Roman"/>
        </w:rPr>
        <w:t xml:space="preserve"> and </w:t>
      </w:r>
      <w:r w:rsidRPr="00665266">
        <w:rPr>
          <w:rFonts w:asciiTheme="minorHAnsi" w:hAnsiTheme="minorHAnsi" w:cs="Times New Roman"/>
          <w:b/>
        </w:rPr>
        <w:t>50% Local</w:t>
      </w:r>
      <w:r w:rsidRPr="00665266">
        <w:rPr>
          <w:rFonts w:asciiTheme="minorHAnsi" w:hAnsiTheme="minorHAnsi" w:cs="Times New Roman"/>
        </w:rPr>
        <w:t xml:space="preserve"> match (cash or in-kind) requirement.</w:t>
      </w:r>
      <w:r w:rsidR="002956CA" w:rsidRPr="00665266">
        <w:rPr>
          <w:rFonts w:asciiTheme="minorHAnsi" w:hAnsiTheme="minorHAnsi" w:cs="Times New Roman"/>
        </w:rPr>
        <w:t xml:space="preserve"> </w:t>
      </w:r>
      <w:r w:rsidRPr="00665266">
        <w:rPr>
          <w:rFonts w:asciiTheme="minorHAnsi" w:hAnsiTheme="minorHAnsi" w:cs="Times New Roman"/>
        </w:rPr>
        <w:t xml:space="preserve">Unless otherwise authorized by law, Federal funds cannot be matched with other Federal funds. To meet matching requirements, the </w:t>
      </w:r>
      <w:r w:rsidR="000E1DF5">
        <w:rPr>
          <w:rFonts w:asciiTheme="minorHAnsi" w:hAnsiTheme="minorHAnsi" w:cs="Times New Roman"/>
        </w:rPr>
        <w:t>Subrecipient</w:t>
      </w:r>
      <w:r w:rsidRPr="00665266">
        <w:rPr>
          <w:rFonts w:asciiTheme="minorHAnsi" w:hAnsiTheme="minorHAnsi" w:cs="Times New Roman"/>
        </w:rPr>
        <w:t xml:space="preserve"> contributions </w:t>
      </w:r>
      <w:r w:rsidRPr="00B90BC2">
        <w:rPr>
          <w:rFonts w:asciiTheme="minorHAnsi" w:hAnsiTheme="minorHAnsi" w:cs="Times New Roman"/>
          <w:b/>
          <w:i/>
          <w:u w:val="single"/>
        </w:rPr>
        <w:t>must</w:t>
      </w:r>
      <w:r w:rsidRPr="00665266">
        <w:rPr>
          <w:rFonts w:asciiTheme="minorHAnsi" w:hAnsiTheme="minorHAnsi" w:cs="Times New Roman"/>
        </w:rPr>
        <w:t xml:space="preserve"> be </w:t>
      </w:r>
      <w:r w:rsidRPr="00665266">
        <w:rPr>
          <w:rFonts w:asciiTheme="minorHAnsi" w:hAnsiTheme="minorHAnsi" w:cs="Times New Roman"/>
          <w:i/>
        </w:rPr>
        <w:t>reasonable, allowable, allocable, and necessary</w:t>
      </w:r>
      <w:r w:rsidRPr="00665266">
        <w:rPr>
          <w:rFonts w:asciiTheme="minorHAnsi" w:hAnsiTheme="minorHAnsi" w:cs="Times New Roman"/>
        </w:rPr>
        <w:t xml:space="preserve"> under the grant program and </w:t>
      </w:r>
      <w:r w:rsidRPr="00B90BC2">
        <w:rPr>
          <w:rFonts w:asciiTheme="minorHAnsi" w:hAnsiTheme="minorHAnsi" w:cs="Times New Roman"/>
          <w:b/>
          <w:i/>
          <w:u w:val="single"/>
        </w:rPr>
        <w:t>must</w:t>
      </w:r>
      <w:r w:rsidRPr="00665266">
        <w:rPr>
          <w:rFonts w:asciiTheme="minorHAnsi" w:hAnsiTheme="minorHAnsi" w:cs="Times New Roman"/>
        </w:rPr>
        <w:t xml:space="preserve"> comply with all Federal requirements and regulations. At the time of application, proof of match is required if the </w:t>
      </w:r>
      <w:r w:rsidR="00DD7144" w:rsidRPr="00665266">
        <w:rPr>
          <w:rFonts w:asciiTheme="minorHAnsi" w:hAnsiTheme="minorHAnsi" w:cs="Times New Roman"/>
        </w:rPr>
        <w:t>applicant</w:t>
      </w:r>
      <w:r w:rsidRPr="00665266">
        <w:rPr>
          <w:rFonts w:asciiTheme="minorHAnsi" w:hAnsiTheme="minorHAnsi" w:cs="Times New Roman"/>
        </w:rPr>
        <w:t xml:space="preserve"> plans to use previously accrued soft/in-kind match (prior to grant application, but within the grant’s period of performance). Otherwise, when seeking reimbursement, proof of match equal to the amount being requested </w:t>
      </w:r>
      <w:r w:rsidR="00B90BC2">
        <w:rPr>
          <w:rFonts w:asciiTheme="minorHAnsi" w:hAnsiTheme="minorHAnsi" w:cs="Times New Roman"/>
          <w:b/>
          <w:i/>
          <w:u w:val="single"/>
        </w:rPr>
        <w:t>must</w:t>
      </w:r>
      <w:r w:rsidRPr="00665266">
        <w:rPr>
          <w:rFonts w:asciiTheme="minorHAnsi" w:hAnsiTheme="minorHAnsi" w:cs="Times New Roman"/>
        </w:rPr>
        <w:t xml:space="preserve"> be provided at the time of request.</w:t>
      </w:r>
      <w:r w:rsidR="00E577F9">
        <w:rPr>
          <w:rFonts w:asciiTheme="minorHAnsi" w:hAnsiTheme="minorHAnsi" w:cs="Times New Roman"/>
        </w:rPr>
        <w:t xml:space="preserve">  Any questions on allowable local match should be directed to your assigned HSEM Field Representative or the EMPG Program Coordinator.</w:t>
      </w:r>
    </w:p>
    <w:p w:rsidR="006212D8" w:rsidRPr="00665266" w:rsidRDefault="00A5551B" w:rsidP="00152460">
      <w:pPr>
        <w:pStyle w:val="Heading2"/>
      </w:pPr>
      <w:bookmarkStart w:id="25" w:name="_Toc480368191"/>
      <w:r>
        <w:t>National Incident Management System (</w:t>
      </w:r>
      <w:r w:rsidR="003F4E25" w:rsidRPr="00665266">
        <w:t>NIMS</w:t>
      </w:r>
      <w:r>
        <w:t>)</w:t>
      </w:r>
      <w:r w:rsidR="003F4E25" w:rsidRPr="00665266">
        <w:t xml:space="preserve"> Compliance</w:t>
      </w:r>
      <w:bookmarkEnd w:id="25"/>
    </w:p>
    <w:p w:rsidR="00453F93" w:rsidRPr="00665266" w:rsidRDefault="00A5551B" w:rsidP="00F75E27">
      <w:pPr>
        <w:pStyle w:val="Default"/>
        <w:spacing w:after="120"/>
        <w:jc w:val="both"/>
        <w:rPr>
          <w:rStyle w:val="Hyperlink"/>
          <w:rFonts w:asciiTheme="minorHAnsi" w:hAnsiTheme="minorHAnsi" w:cs="Times New Roman"/>
        </w:rPr>
      </w:pPr>
      <w:r>
        <w:rPr>
          <w:rFonts w:asciiTheme="minorHAnsi" w:hAnsiTheme="minorHAnsi" w:cs="Times New Roman"/>
        </w:rPr>
        <w:t xml:space="preserve">In accordance with HSPD-5, </w:t>
      </w:r>
      <w:r>
        <w:rPr>
          <w:rFonts w:asciiTheme="minorHAnsi" w:hAnsiTheme="minorHAnsi" w:cs="Times New Roman"/>
          <w:i/>
        </w:rPr>
        <w:t xml:space="preserve">Management of Domestic Incidents, </w:t>
      </w:r>
      <w:r>
        <w:rPr>
          <w:rFonts w:asciiTheme="minorHAnsi" w:hAnsiTheme="minorHAnsi" w:cs="Times New Roman"/>
        </w:rPr>
        <w:t xml:space="preserve">the adoption of the National Incident Management System (NIMS) is a requirement to receive Federal preparedness assistance through grants, contracts, and other activities.  NIMS provides a common approach to state and national response that enables responders at all levels to work together more effectively to manage domestic incidents. It includes a core set of guidelines, standards, and protocols for command and management, preparedness, and communications in emergency situations.   </w:t>
      </w:r>
      <w:r w:rsidR="003F4E25" w:rsidRPr="00665266">
        <w:rPr>
          <w:rFonts w:asciiTheme="minorHAnsi" w:hAnsiTheme="minorHAnsi" w:cs="Times New Roman"/>
        </w:rPr>
        <w:t xml:space="preserve">Applicants </w:t>
      </w:r>
      <w:r w:rsidR="003F4E25" w:rsidRPr="00B90BC2">
        <w:rPr>
          <w:rFonts w:asciiTheme="minorHAnsi" w:hAnsiTheme="minorHAnsi" w:cs="Times New Roman"/>
          <w:b/>
          <w:i/>
          <w:u w:val="single"/>
        </w:rPr>
        <w:t>must</w:t>
      </w:r>
      <w:r w:rsidR="003F4E25" w:rsidRPr="00665266">
        <w:rPr>
          <w:rFonts w:asciiTheme="minorHAnsi" w:hAnsiTheme="minorHAnsi" w:cs="Times New Roman"/>
        </w:rPr>
        <w:t xml:space="preserve"> certify that they are </w:t>
      </w:r>
      <w:r>
        <w:rPr>
          <w:rFonts w:asciiTheme="minorHAnsi" w:hAnsiTheme="minorHAnsi" w:cs="Times New Roman"/>
        </w:rPr>
        <w:t>NIMS</w:t>
      </w:r>
      <w:r w:rsidR="003F4E25" w:rsidRPr="00665266">
        <w:rPr>
          <w:rFonts w:asciiTheme="minorHAnsi" w:hAnsiTheme="minorHAnsi" w:cs="Times New Roman"/>
        </w:rPr>
        <w:t xml:space="preserve"> compliant or working towards compliance and will furnish documentation upon request.</w:t>
      </w:r>
      <w:r w:rsidR="002956CA" w:rsidRPr="00665266">
        <w:rPr>
          <w:rFonts w:asciiTheme="minorHAnsi" w:hAnsiTheme="minorHAnsi" w:cs="Times New Roman"/>
        </w:rPr>
        <w:t xml:space="preserve"> </w:t>
      </w:r>
      <w:r w:rsidR="00D568A8" w:rsidRPr="00665266">
        <w:rPr>
          <w:rFonts w:asciiTheme="minorHAnsi" w:hAnsiTheme="minorHAnsi" w:cs="Times New Roman"/>
        </w:rPr>
        <w:t>A</w:t>
      </w:r>
      <w:r w:rsidR="003F4E25" w:rsidRPr="00665266">
        <w:rPr>
          <w:rFonts w:asciiTheme="minorHAnsi" w:hAnsiTheme="minorHAnsi" w:cs="Times New Roman"/>
        </w:rPr>
        <w:t xml:space="preserve">pplicants are </w:t>
      </w:r>
      <w:r w:rsidR="003F4E25" w:rsidRPr="00665266">
        <w:rPr>
          <w:rFonts w:asciiTheme="minorHAnsi" w:hAnsiTheme="minorHAnsi" w:cs="Times New Roman"/>
          <w:b/>
          <w:i/>
          <w:u w:val="single"/>
        </w:rPr>
        <w:t>required</w:t>
      </w:r>
      <w:r w:rsidR="003F4E25" w:rsidRPr="00665266">
        <w:rPr>
          <w:rFonts w:asciiTheme="minorHAnsi" w:hAnsiTheme="minorHAnsi" w:cs="Times New Roman"/>
        </w:rPr>
        <w:t xml:space="preserve"> to complete and submit the online NIMS Compliance Survey </w:t>
      </w:r>
      <w:r w:rsidR="00D568A8" w:rsidRPr="00665266">
        <w:rPr>
          <w:rFonts w:asciiTheme="minorHAnsi" w:hAnsiTheme="minorHAnsi" w:cs="Times New Roman"/>
        </w:rPr>
        <w:t>annually, l</w:t>
      </w:r>
      <w:r w:rsidR="003F4E25" w:rsidRPr="00665266">
        <w:rPr>
          <w:rFonts w:asciiTheme="minorHAnsi" w:hAnsiTheme="minorHAnsi" w:cs="Times New Roman"/>
        </w:rPr>
        <w:t xml:space="preserve">ocated on </w:t>
      </w:r>
      <w:r w:rsidR="004B3AD8" w:rsidRPr="00665266">
        <w:rPr>
          <w:rFonts w:asciiTheme="minorHAnsi" w:hAnsiTheme="minorHAnsi" w:cs="Times New Roman"/>
        </w:rPr>
        <w:t xml:space="preserve">the </w:t>
      </w:r>
      <w:r w:rsidR="00176F1A" w:rsidRPr="00665266">
        <w:rPr>
          <w:rFonts w:asciiTheme="minorHAnsi" w:hAnsiTheme="minorHAnsi" w:cs="Times New Roman"/>
        </w:rPr>
        <w:t>HSEM</w:t>
      </w:r>
      <w:r w:rsidR="003F4E25" w:rsidRPr="00665266">
        <w:rPr>
          <w:rFonts w:asciiTheme="minorHAnsi" w:hAnsiTheme="minorHAnsi" w:cs="Times New Roman"/>
        </w:rPr>
        <w:t xml:space="preserve"> Resource Center at:</w:t>
      </w:r>
      <w:r w:rsidR="002956CA" w:rsidRPr="00665266">
        <w:rPr>
          <w:rFonts w:asciiTheme="minorHAnsi" w:hAnsiTheme="minorHAnsi" w:cs="Times New Roman"/>
        </w:rPr>
        <w:t xml:space="preserve"> </w:t>
      </w:r>
      <w:hyperlink r:id="rId33" w:history="1">
        <w:r w:rsidR="003F4E25" w:rsidRPr="00665266">
          <w:rPr>
            <w:rStyle w:val="Hyperlink"/>
            <w:rFonts w:asciiTheme="minorHAnsi" w:hAnsiTheme="minorHAnsi" w:cs="Times New Roman"/>
          </w:rPr>
          <w:t>https://apps.nh.gov/blogs/hsem/?page_id=638</w:t>
        </w:r>
      </w:hyperlink>
    </w:p>
    <w:p w:rsidR="006212D8" w:rsidRPr="00665266" w:rsidRDefault="003F4E25" w:rsidP="00152460">
      <w:pPr>
        <w:pStyle w:val="Heading2"/>
      </w:pPr>
      <w:bookmarkStart w:id="26" w:name="_Toc480368192"/>
      <w:r w:rsidRPr="00665266">
        <w:t>Non-Compliance</w:t>
      </w:r>
      <w:bookmarkEnd w:id="26"/>
    </w:p>
    <w:p w:rsidR="003F4E25" w:rsidRPr="00665266" w:rsidRDefault="003F4E25" w:rsidP="00F75E27">
      <w:pPr>
        <w:pStyle w:val="Default"/>
        <w:spacing w:after="120"/>
        <w:jc w:val="both"/>
        <w:rPr>
          <w:rFonts w:asciiTheme="minorHAnsi" w:hAnsiTheme="minorHAnsi" w:cs="Times New Roman"/>
          <w:bCs/>
        </w:rPr>
      </w:pPr>
      <w:r w:rsidRPr="00665266">
        <w:rPr>
          <w:rFonts w:asciiTheme="minorHAnsi" w:hAnsiTheme="minorHAnsi" w:cs="Times New Roman"/>
          <w:bCs/>
        </w:rPr>
        <w:t xml:space="preserve">Per 2 </w:t>
      </w:r>
      <w:r w:rsidR="00457696">
        <w:rPr>
          <w:rFonts w:asciiTheme="minorHAnsi" w:hAnsiTheme="minorHAnsi" w:cs="Times New Roman"/>
          <w:bCs/>
        </w:rPr>
        <w:t>C.F.R.</w:t>
      </w:r>
      <w:r w:rsidRPr="00665266">
        <w:rPr>
          <w:rFonts w:asciiTheme="minorHAnsi" w:hAnsiTheme="minorHAnsi" w:cs="Times New Roman"/>
          <w:bCs/>
        </w:rPr>
        <w:t xml:space="preserve"> §200.338/Remedies for Noncompliance, if a </w:t>
      </w:r>
      <w:r w:rsidR="000E1DF5">
        <w:rPr>
          <w:rFonts w:asciiTheme="minorHAnsi" w:hAnsiTheme="minorHAnsi" w:cs="Times New Roman"/>
          <w:bCs/>
        </w:rPr>
        <w:t>Subrecipient</w:t>
      </w:r>
      <w:r w:rsidRPr="00665266">
        <w:rPr>
          <w:rFonts w:asciiTheme="minorHAnsi" w:hAnsiTheme="minorHAnsi" w:cs="Times New Roman"/>
          <w:bCs/>
        </w:rPr>
        <w:t xml:space="preserve"> fails to comply with Federal statutes, regulations or the terms and conditions of the executed grant agreement (award), the State may impose</w:t>
      </w:r>
      <w:r w:rsidR="002956CA" w:rsidRPr="00665266">
        <w:rPr>
          <w:rFonts w:asciiTheme="minorHAnsi" w:hAnsiTheme="minorHAnsi" w:cs="Times New Roman"/>
          <w:bCs/>
        </w:rPr>
        <w:t xml:space="preserve"> </w:t>
      </w:r>
      <w:r w:rsidRPr="00665266">
        <w:rPr>
          <w:rFonts w:asciiTheme="minorHAnsi" w:hAnsiTheme="minorHAnsi" w:cs="Times New Roman"/>
          <w:bCs/>
        </w:rPr>
        <w:t xml:space="preserve">additional conditions on the award (refer to 2 </w:t>
      </w:r>
      <w:r w:rsidR="00457696">
        <w:rPr>
          <w:rFonts w:asciiTheme="minorHAnsi" w:hAnsiTheme="minorHAnsi" w:cs="Times New Roman"/>
          <w:bCs/>
        </w:rPr>
        <w:t>C.F.R.</w:t>
      </w:r>
      <w:r w:rsidRPr="00665266">
        <w:rPr>
          <w:rFonts w:asciiTheme="minorHAnsi" w:hAnsiTheme="minorHAnsi" w:cs="Times New Roman"/>
          <w:bCs/>
        </w:rPr>
        <w:t xml:space="preserve"> §200.207). If those additional conditions do not remedy the non-compliance, additional remedies are available, including temporarily withholding cash payments, disallowing costs, wholly or partially suspending or terminating the award, suspension or debarment proceedings, withholding further Federal awards for the project, and any other remedies legally available</w:t>
      </w:r>
      <w:r w:rsidR="00453F93" w:rsidRPr="00665266">
        <w:rPr>
          <w:rFonts w:asciiTheme="minorHAnsi" w:hAnsiTheme="minorHAnsi" w:cs="Times New Roman"/>
          <w:bCs/>
        </w:rPr>
        <w:t xml:space="preserve">. </w:t>
      </w:r>
      <w:r w:rsidRPr="00665266">
        <w:rPr>
          <w:rFonts w:asciiTheme="minorHAnsi" w:hAnsiTheme="minorHAnsi" w:cs="Times New Roman"/>
          <w:bCs/>
        </w:rPr>
        <w:t xml:space="preserve">Also, be sure that projects are </w:t>
      </w:r>
      <w:r w:rsidR="00815476">
        <w:rPr>
          <w:rFonts w:asciiTheme="minorHAnsi" w:hAnsiTheme="minorHAnsi" w:cs="Times New Roman"/>
          <w:b/>
          <w:bCs/>
          <w:i/>
          <w:u w:val="single"/>
        </w:rPr>
        <w:t>NOT</w:t>
      </w:r>
      <w:r w:rsidRPr="00665266">
        <w:rPr>
          <w:rFonts w:asciiTheme="minorHAnsi" w:hAnsiTheme="minorHAnsi" w:cs="Times New Roman"/>
          <w:bCs/>
        </w:rPr>
        <w:t xml:space="preserve"> started and/or purchases are </w:t>
      </w:r>
      <w:r w:rsidR="00815476">
        <w:rPr>
          <w:rFonts w:asciiTheme="minorHAnsi" w:hAnsiTheme="minorHAnsi" w:cs="Times New Roman"/>
          <w:b/>
          <w:bCs/>
          <w:i/>
          <w:u w:val="single"/>
        </w:rPr>
        <w:t>NOT</w:t>
      </w:r>
      <w:r w:rsidRPr="00665266">
        <w:rPr>
          <w:rFonts w:asciiTheme="minorHAnsi" w:hAnsiTheme="minorHAnsi" w:cs="Times New Roman"/>
          <w:bCs/>
        </w:rPr>
        <w:t xml:space="preserve"> made against the Federal award share prior to receiving notification of your grant award – you will </w:t>
      </w:r>
      <w:r w:rsidR="00815476">
        <w:rPr>
          <w:rFonts w:asciiTheme="minorHAnsi" w:hAnsiTheme="minorHAnsi" w:cs="Times New Roman"/>
          <w:b/>
          <w:bCs/>
          <w:i/>
          <w:u w:val="single"/>
        </w:rPr>
        <w:t>NOT</w:t>
      </w:r>
      <w:r w:rsidRPr="00665266">
        <w:rPr>
          <w:rFonts w:asciiTheme="minorHAnsi" w:hAnsiTheme="minorHAnsi" w:cs="Times New Roman"/>
          <w:bCs/>
        </w:rPr>
        <w:t xml:space="preserve"> receive reimbursement and will risk ability to receive future grant funds</w:t>
      </w:r>
      <w:r w:rsidR="00B9655C" w:rsidRPr="00665266">
        <w:rPr>
          <w:rFonts w:asciiTheme="minorHAnsi" w:hAnsiTheme="minorHAnsi" w:cs="Times New Roman"/>
          <w:bCs/>
        </w:rPr>
        <w:t>.</w:t>
      </w:r>
      <w:r w:rsidRPr="00665266">
        <w:rPr>
          <w:rFonts w:asciiTheme="minorHAnsi" w:hAnsiTheme="minorHAnsi" w:cs="Times New Roman"/>
          <w:bCs/>
        </w:rPr>
        <w:t xml:space="preserve"> </w:t>
      </w:r>
    </w:p>
    <w:p w:rsidR="006212D8" w:rsidRPr="00665266" w:rsidRDefault="003F4E25" w:rsidP="00152460">
      <w:pPr>
        <w:pStyle w:val="Heading2"/>
      </w:pPr>
      <w:bookmarkStart w:id="27" w:name="_Toc480368193"/>
      <w:r w:rsidRPr="00665266">
        <w:t>Procurement by Non-Federal Entities</w:t>
      </w:r>
      <w:bookmarkEnd w:id="27"/>
    </w:p>
    <w:p w:rsidR="003F4E25" w:rsidRPr="00665266" w:rsidRDefault="00142FF6" w:rsidP="00F75E27">
      <w:pPr>
        <w:pStyle w:val="Default"/>
        <w:spacing w:after="120"/>
        <w:jc w:val="both"/>
        <w:rPr>
          <w:rFonts w:asciiTheme="minorHAnsi" w:hAnsiTheme="minorHAnsi" w:cs="Times New Roman"/>
          <w:bCs/>
        </w:rPr>
      </w:pPr>
      <w:r w:rsidRPr="00665266">
        <w:rPr>
          <w:rFonts w:asciiTheme="minorHAnsi" w:hAnsiTheme="minorHAnsi" w:cs="Times New Roman"/>
          <w:bCs/>
        </w:rPr>
        <w:t>Procurement is the process of acquiring (buying, purchasing, renting/leasing or otherwise obtaining) goods and services.</w:t>
      </w:r>
      <w:r w:rsidR="002956CA" w:rsidRPr="00665266">
        <w:rPr>
          <w:rFonts w:asciiTheme="minorHAnsi" w:hAnsiTheme="minorHAnsi" w:cs="Times New Roman"/>
          <w:bCs/>
        </w:rPr>
        <w:t xml:space="preserve"> </w:t>
      </w:r>
      <w:r w:rsidRPr="00665266">
        <w:rPr>
          <w:rFonts w:asciiTheme="minorHAnsi" w:hAnsiTheme="minorHAnsi" w:cs="Times New Roman"/>
          <w:bCs/>
        </w:rPr>
        <w:t xml:space="preserve">This process </w:t>
      </w:r>
      <w:r w:rsidR="00B90BC2">
        <w:rPr>
          <w:rFonts w:asciiTheme="minorHAnsi" w:hAnsiTheme="minorHAnsi" w:cs="Times New Roman"/>
          <w:b/>
          <w:bCs/>
          <w:i/>
          <w:u w:val="single"/>
        </w:rPr>
        <w:t>must</w:t>
      </w:r>
      <w:r w:rsidRPr="00665266">
        <w:rPr>
          <w:rFonts w:asciiTheme="minorHAnsi" w:hAnsiTheme="minorHAnsi" w:cs="Times New Roman"/>
          <w:bCs/>
        </w:rPr>
        <w:t xml:space="preserve"> be competitive and well</w:t>
      </w:r>
      <w:r w:rsidR="00E577F9">
        <w:rPr>
          <w:rFonts w:asciiTheme="minorHAnsi" w:hAnsiTheme="minorHAnsi" w:cs="Times New Roman"/>
          <w:bCs/>
        </w:rPr>
        <w:t>-</w:t>
      </w:r>
      <w:r w:rsidRPr="00665266">
        <w:rPr>
          <w:rFonts w:asciiTheme="minorHAnsi" w:hAnsiTheme="minorHAnsi" w:cs="Times New Roman"/>
          <w:bCs/>
        </w:rPr>
        <w:t>documented.</w:t>
      </w:r>
      <w:r w:rsidR="002956CA" w:rsidRPr="00665266">
        <w:rPr>
          <w:rFonts w:asciiTheme="minorHAnsi" w:hAnsiTheme="minorHAnsi" w:cs="Times New Roman"/>
          <w:bCs/>
        </w:rPr>
        <w:t xml:space="preserve"> </w:t>
      </w:r>
      <w:r w:rsidR="003F4E25" w:rsidRPr="00665266">
        <w:rPr>
          <w:rFonts w:asciiTheme="minorHAnsi" w:hAnsiTheme="minorHAnsi" w:cs="Times New Roman"/>
          <w:bCs/>
        </w:rPr>
        <w:t xml:space="preserve">All </w:t>
      </w:r>
      <w:r w:rsidR="000E1DF5">
        <w:rPr>
          <w:rFonts w:asciiTheme="minorHAnsi" w:hAnsiTheme="minorHAnsi" w:cs="Times New Roman"/>
          <w:bCs/>
        </w:rPr>
        <w:t>Subrecipient</w:t>
      </w:r>
      <w:r w:rsidR="003F4E25" w:rsidRPr="00665266">
        <w:rPr>
          <w:rFonts w:asciiTheme="minorHAnsi" w:hAnsiTheme="minorHAnsi" w:cs="Times New Roman"/>
          <w:bCs/>
        </w:rPr>
        <w:t xml:space="preserve">s of Federal awards </w:t>
      </w:r>
      <w:r w:rsidR="00F907C1" w:rsidRPr="00B241A8">
        <w:rPr>
          <w:rFonts w:asciiTheme="minorHAnsi" w:hAnsiTheme="minorHAnsi" w:cs="Times New Roman"/>
          <w:b/>
          <w:bCs/>
          <w:i/>
          <w:u w:val="single"/>
        </w:rPr>
        <w:t>WILL</w:t>
      </w:r>
      <w:r w:rsidR="003F4E25" w:rsidRPr="00665266">
        <w:rPr>
          <w:rFonts w:asciiTheme="minorHAnsi" w:hAnsiTheme="minorHAnsi" w:cs="Times New Roman"/>
          <w:bCs/>
        </w:rPr>
        <w:t xml:space="preserve"> </w:t>
      </w:r>
      <w:r w:rsidRPr="00665266">
        <w:rPr>
          <w:rFonts w:asciiTheme="minorHAnsi" w:hAnsiTheme="minorHAnsi" w:cs="Times New Roman"/>
          <w:bCs/>
        </w:rPr>
        <w:t xml:space="preserve">also </w:t>
      </w:r>
      <w:r w:rsidR="003F4E25" w:rsidRPr="00665266">
        <w:rPr>
          <w:rFonts w:asciiTheme="minorHAnsi" w:hAnsiTheme="minorHAnsi" w:cs="Times New Roman"/>
          <w:bCs/>
        </w:rPr>
        <w:t xml:space="preserve">follow 2 C.F.R §§200.318-200.326 </w:t>
      </w:r>
      <w:r w:rsidR="00E577F9">
        <w:rPr>
          <w:rFonts w:asciiTheme="minorHAnsi" w:hAnsiTheme="minorHAnsi" w:cs="Times New Roman"/>
          <w:bCs/>
        </w:rPr>
        <w:t xml:space="preserve">along with </w:t>
      </w:r>
      <w:r w:rsidR="00E577F9">
        <w:rPr>
          <w:rFonts w:asciiTheme="minorHAnsi" w:hAnsiTheme="minorHAnsi" w:cs="Times New Roman"/>
          <w:bCs/>
        </w:rPr>
        <w:lastRenderedPageBreak/>
        <w:t xml:space="preserve">applicable local and State policies </w:t>
      </w:r>
      <w:r w:rsidR="003F4E25" w:rsidRPr="00665266">
        <w:rPr>
          <w:rFonts w:asciiTheme="minorHAnsi" w:hAnsiTheme="minorHAnsi" w:cs="Times New Roman"/>
          <w:bCs/>
        </w:rPr>
        <w:t>when procuring property and services.</w:t>
      </w:r>
      <w:r w:rsidR="002956CA" w:rsidRPr="00665266">
        <w:rPr>
          <w:rFonts w:asciiTheme="minorHAnsi" w:hAnsiTheme="minorHAnsi" w:cs="Times New Roman"/>
          <w:bCs/>
        </w:rPr>
        <w:t xml:space="preserve"> </w:t>
      </w:r>
      <w:r w:rsidR="00F907C1" w:rsidRPr="00665266">
        <w:rPr>
          <w:rFonts w:asciiTheme="minorHAnsi" w:hAnsiTheme="minorHAnsi" w:cs="Times New Roman"/>
          <w:bCs/>
        </w:rPr>
        <w:t xml:space="preserve">As covered under these regulations, </w:t>
      </w:r>
      <w:r w:rsidR="000E1DF5">
        <w:rPr>
          <w:rFonts w:asciiTheme="minorHAnsi" w:hAnsiTheme="minorHAnsi" w:cs="Times New Roman"/>
          <w:bCs/>
        </w:rPr>
        <w:t>Subrecipient</w:t>
      </w:r>
      <w:r w:rsidR="00F907C1" w:rsidRPr="00665266">
        <w:rPr>
          <w:rFonts w:asciiTheme="minorHAnsi" w:hAnsiTheme="minorHAnsi" w:cs="Times New Roman"/>
          <w:bCs/>
        </w:rPr>
        <w:t xml:space="preserve">s </w:t>
      </w:r>
      <w:r w:rsidR="00F907C1" w:rsidRPr="00B90BC2">
        <w:rPr>
          <w:rFonts w:asciiTheme="minorHAnsi" w:hAnsiTheme="minorHAnsi" w:cs="Times New Roman"/>
          <w:b/>
          <w:bCs/>
          <w:i/>
          <w:u w:val="single"/>
        </w:rPr>
        <w:t>must</w:t>
      </w:r>
      <w:r w:rsidR="00F907C1" w:rsidRPr="00665266">
        <w:rPr>
          <w:rFonts w:asciiTheme="minorHAnsi" w:hAnsiTheme="minorHAnsi" w:cs="Times New Roman"/>
          <w:bCs/>
        </w:rPr>
        <w:t xml:space="preserve"> maintain and use documented procurement procedures and standards of conduct, have written procedures for procurement transactions and follow methods of procurement according to the size of the purchase.</w:t>
      </w:r>
      <w:r w:rsidR="002956CA" w:rsidRPr="00665266">
        <w:rPr>
          <w:rFonts w:asciiTheme="minorHAnsi" w:hAnsiTheme="minorHAnsi" w:cs="Times New Roman"/>
          <w:bCs/>
        </w:rPr>
        <w:t xml:space="preserve"> </w:t>
      </w:r>
      <w:r w:rsidR="00F907C1" w:rsidRPr="00665266">
        <w:rPr>
          <w:rFonts w:asciiTheme="minorHAnsi" w:hAnsiTheme="minorHAnsi" w:cs="Times New Roman"/>
          <w:bCs/>
        </w:rPr>
        <w:t xml:space="preserve">In combination with the previously mentioned procurements requirements, </w:t>
      </w:r>
      <w:r w:rsidR="000E1DF5">
        <w:rPr>
          <w:rFonts w:asciiTheme="minorHAnsi" w:hAnsiTheme="minorHAnsi" w:cs="Times New Roman"/>
          <w:bCs/>
        </w:rPr>
        <w:t>Subrecipient</w:t>
      </w:r>
      <w:r w:rsidR="00F907C1" w:rsidRPr="00665266">
        <w:rPr>
          <w:rFonts w:asciiTheme="minorHAnsi" w:hAnsiTheme="minorHAnsi" w:cs="Times New Roman"/>
          <w:bCs/>
        </w:rPr>
        <w:t xml:space="preserve">s </w:t>
      </w:r>
      <w:r w:rsidR="00F907C1" w:rsidRPr="00B90BC2">
        <w:rPr>
          <w:rFonts w:asciiTheme="minorHAnsi" w:hAnsiTheme="minorHAnsi" w:cs="Times New Roman"/>
          <w:b/>
          <w:bCs/>
          <w:i/>
          <w:u w:val="single"/>
        </w:rPr>
        <w:t>must</w:t>
      </w:r>
      <w:r w:rsidR="00F907C1" w:rsidRPr="00665266">
        <w:rPr>
          <w:rFonts w:asciiTheme="minorHAnsi" w:hAnsiTheme="minorHAnsi" w:cs="Times New Roman"/>
          <w:bCs/>
        </w:rPr>
        <w:t xml:space="preserve"> perform a cost or price analysis in connect</w:t>
      </w:r>
      <w:r w:rsidR="00B241A8">
        <w:rPr>
          <w:rFonts w:asciiTheme="minorHAnsi" w:hAnsiTheme="minorHAnsi" w:cs="Times New Roman"/>
          <w:bCs/>
        </w:rPr>
        <w:t>ion</w:t>
      </w:r>
      <w:r w:rsidR="00F907C1" w:rsidRPr="00665266">
        <w:rPr>
          <w:rFonts w:asciiTheme="minorHAnsi" w:hAnsiTheme="minorHAnsi" w:cs="Times New Roman"/>
          <w:bCs/>
        </w:rPr>
        <w:t xml:space="preserve"> with every procurement action in excess of the Simplified Acquisition Threshold </w:t>
      </w:r>
      <w:r w:rsidR="005C44A4" w:rsidRPr="00665266">
        <w:rPr>
          <w:rFonts w:asciiTheme="minorHAnsi" w:hAnsiTheme="minorHAnsi" w:cs="Times New Roman"/>
          <w:bCs/>
        </w:rPr>
        <w:t>(</w:t>
      </w:r>
      <w:r w:rsidR="005C44A4" w:rsidRPr="00665266">
        <w:rPr>
          <w:rStyle w:val="p1"/>
          <w:rFonts w:asciiTheme="minorHAnsi" w:hAnsiTheme="minorHAnsi"/>
          <w:specVanish w:val="0"/>
        </w:rPr>
        <w:t>currently set at $150,000)</w:t>
      </w:r>
      <w:r w:rsidR="005C44A4" w:rsidRPr="00665266">
        <w:rPr>
          <w:rFonts w:asciiTheme="minorHAnsi" w:hAnsiTheme="minorHAnsi" w:cs="Times New Roman"/>
          <w:bCs/>
        </w:rPr>
        <w:t xml:space="preserve"> </w:t>
      </w:r>
      <w:r w:rsidR="00F907C1" w:rsidRPr="00665266">
        <w:rPr>
          <w:rFonts w:asciiTheme="minorHAnsi" w:hAnsiTheme="minorHAnsi" w:cs="Times New Roman"/>
          <w:bCs/>
        </w:rPr>
        <w:t>including contract modifications and provide HSEM with procurement documents upon request.</w:t>
      </w:r>
      <w:r w:rsidR="002956CA" w:rsidRPr="00665266">
        <w:rPr>
          <w:rFonts w:asciiTheme="minorHAnsi" w:hAnsiTheme="minorHAnsi" w:cs="Times New Roman"/>
          <w:bCs/>
        </w:rPr>
        <w:t xml:space="preserve"> </w:t>
      </w:r>
      <w:r w:rsidR="00B241A8">
        <w:rPr>
          <w:rFonts w:asciiTheme="minorHAnsi" w:hAnsiTheme="minorHAnsi" w:cs="Times New Roman"/>
          <w:bCs/>
        </w:rPr>
        <w:t>B</w:t>
      </w:r>
      <w:r w:rsidR="00F907C1" w:rsidRPr="00665266">
        <w:rPr>
          <w:rFonts w:asciiTheme="minorHAnsi" w:hAnsiTheme="minorHAnsi" w:cs="Times New Roman"/>
          <w:bCs/>
        </w:rPr>
        <w:t>e sure to review the regulations in their entirety by following the links associated with each of the regulations listed below:</w:t>
      </w:r>
      <w:r w:rsidR="00897D19" w:rsidRPr="00665266">
        <w:rPr>
          <w:rFonts w:asciiTheme="minorHAnsi" w:hAnsiTheme="minorHAnsi" w:cs="Times New Roman"/>
          <w:bCs/>
        </w:rPr>
        <w:t xml:space="preserve"> </w:t>
      </w:r>
    </w:p>
    <w:p w:rsidR="003F4E25"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"https://www.gpo.gov/fdsys/pkg/CFR-2014-title2-vol1/xml/CFR-2014-title2-vol1-sec200-318.xml" </w:instrText>
      </w:r>
      <w:r w:rsidRPr="00B241A8">
        <w:rPr>
          <w:rFonts w:asciiTheme="minorHAnsi" w:hAnsiTheme="minorHAnsi" w:cs="Times New Roman"/>
          <w:bCs/>
        </w:rPr>
        <w:fldChar w:fldCharType="separate"/>
      </w:r>
      <w:r w:rsidR="003F4E25" w:rsidRPr="00B241A8">
        <w:rPr>
          <w:rStyle w:val="Hyperlink"/>
          <w:rFonts w:asciiTheme="minorHAnsi" w:hAnsiTheme="minorHAnsi" w:cs="Times New Roman"/>
          <w:bCs/>
        </w:rPr>
        <w:t xml:space="preserve">§ 200.318 General </w:t>
      </w:r>
      <w:r w:rsidR="00897D19" w:rsidRPr="00B241A8">
        <w:rPr>
          <w:rStyle w:val="Hyperlink"/>
          <w:rFonts w:asciiTheme="minorHAnsi" w:hAnsiTheme="minorHAnsi" w:cs="Times New Roman"/>
          <w:bCs/>
        </w:rPr>
        <w:t>p</w:t>
      </w:r>
      <w:r w:rsidR="003F4E25" w:rsidRPr="00B241A8">
        <w:rPr>
          <w:rStyle w:val="Hyperlink"/>
          <w:rFonts w:asciiTheme="minorHAnsi" w:hAnsiTheme="minorHAnsi" w:cs="Times New Roman"/>
          <w:bCs/>
        </w:rPr>
        <w:t xml:space="preserve">rocurement </w:t>
      </w:r>
      <w:r w:rsidR="00897D19" w:rsidRPr="00B241A8">
        <w:rPr>
          <w:rStyle w:val="Hyperlink"/>
          <w:rFonts w:asciiTheme="minorHAnsi" w:hAnsiTheme="minorHAnsi" w:cs="Times New Roman"/>
          <w:bCs/>
        </w:rPr>
        <w:t>s</w:t>
      </w:r>
      <w:r w:rsidR="003F4E25" w:rsidRPr="00B241A8">
        <w:rPr>
          <w:rStyle w:val="Hyperlink"/>
          <w:rFonts w:asciiTheme="minorHAnsi" w:hAnsiTheme="minorHAnsi" w:cs="Times New Roman"/>
          <w:bCs/>
        </w:rPr>
        <w:t xml:space="preserve">tandards </w:t>
      </w:r>
    </w:p>
    <w:p w:rsidR="003F4E25"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"https://www.gpo.gov/fdsys/pkg/CFR-2014-title2-vol1/xml/CFR-2014-title2-vol1-sec200-319.xml" </w:instrText>
      </w:r>
      <w:r w:rsidRPr="00B241A8">
        <w:rPr>
          <w:rFonts w:asciiTheme="minorHAnsi" w:hAnsiTheme="minorHAnsi" w:cs="Times New Roman"/>
          <w:bCs/>
        </w:rPr>
        <w:fldChar w:fldCharType="separate"/>
      </w:r>
      <w:r w:rsidR="003F4E25" w:rsidRPr="00B241A8">
        <w:rPr>
          <w:rStyle w:val="Hyperlink"/>
          <w:rFonts w:asciiTheme="minorHAnsi" w:hAnsiTheme="minorHAnsi" w:cs="Times New Roman"/>
          <w:bCs/>
        </w:rPr>
        <w:t>§ 200.319 Competition</w:t>
      </w:r>
    </w:p>
    <w:p w:rsidR="00897D19"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"https://www.gpo.gov/fdsys/pkg/CFR-2014-title2-vol1/xml/CFR-2014-title2-vol1-sec200-320.xml" </w:instrText>
      </w:r>
      <w:r w:rsidRPr="00B241A8">
        <w:rPr>
          <w:rFonts w:asciiTheme="minorHAnsi" w:hAnsiTheme="minorHAnsi" w:cs="Times New Roman"/>
          <w:bCs/>
        </w:rPr>
        <w:fldChar w:fldCharType="separate"/>
      </w:r>
      <w:r w:rsidR="00897D19" w:rsidRPr="00B241A8">
        <w:rPr>
          <w:rStyle w:val="Hyperlink"/>
          <w:rFonts w:asciiTheme="minorHAnsi" w:hAnsiTheme="minorHAnsi" w:cs="Times New Roman"/>
          <w:bCs/>
        </w:rPr>
        <w:t xml:space="preserve">§ 200.320 Methods of </w:t>
      </w:r>
      <w:r w:rsidR="00062504" w:rsidRPr="00B241A8">
        <w:rPr>
          <w:rStyle w:val="Hyperlink"/>
          <w:rFonts w:asciiTheme="minorHAnsi" w:hAnsiTheme="minorHAnsi" w:cs="Times New Roman"/>
          <w:bCs/>
        </w:rPr>
        <w:t>p</w:t>
      </w:r>
      <w:r w:rsidR="00897D19" w:rsidRPr="00B241A8">
        <w:rPr>
          <w:rStyle w:val="Hyperlink"/>
          <w:rFonts w:asciiTheme="minorHAnsi" w:hAnsiTheme="minorHAnsi" w:cs="Times New Roman"/>
          <w:bCs/>
        </w:rPr>
        <w:t xml:space="preserve">rocurement to be </w:t>
      </w:r>
      <w:r w:rsidR="00062504" w:rsidRPr="00B241A8">
        <w:rPr>
          <w:rStyle w:val="Hyperlink"/>
          <w:rFonts w:asciiTheme="minorHAnsi" w:hAnsiTheme="minorHAnsi" w:cs="Times New Roman"/>
          <w:bCs/>
        </w:rPr>
        <w:t>f</w:t>
      </w:r>
      <w:r w:rsidR="00897D19" w:rsidRPr="00B241A8">
        <w:rPr>
          <w:rStyle w:val="Hyperlink"/>
          <w:rFonts w:asciiTheme="minorHAnsi" w:hAnsiTheme="minorHAnsi" w:cs="Times New Roman"/>
          <w:bCs/>
        </w:rPr>
        <w:t>ollowed</w:t>
      </w:r>
    </w:p>
    <w:p w:rsidR="00897D19" w:rsidRPr="00B241A8" w:rsidRDefault="00B241A8" w:rsidP="00B241A8">
      <w:pPr>
        <w:pStyle w:val="Default"/>
        <w:numPr>
          <w:ilvl w:val="0"/>
          <w:numId w:val="19"/>
        </w:numPr>
        <w:spacing w:after="120"/>
        <w:ind w:left="720"/>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"https://www.gpo.gov/fdsys/pkg/CFR-2014-title2-vol1/xml/CFR-2014-title2-vol1-sec200-321.xml" </w:instrText>
      </w:r>
      <w:r w:rsidRPr="00B241A8">
        <w:rPr>
          <w:rFonts w:asciiTheme="minorHAnsi" w:hAnsiTheme="minorHAnsi" w:cs="Times New Roman"/>
          <w:bCs/>
        </w:rPr>
        <w:fldChar w:fldCharType="separate"/>
      </w:r>
      <w:r w:rsidR="00D0669A" w:rsidRPr="00B241A8">
        <w:rPr>
          <w:rStyle w:val="Hyperlink"/>
          <w:rFonts w:asciiTheme="minorHAnsi" w:hAnsiTheme="minorHAnsi" w:cs="Times New Roman"/>
          <w:bCs/>
        </w:rPr>
        <w:t xml:space="preserve">§ </w:t>
      </w:r>
      <w:r w:rsidR="00897D19" w:rsidRPr="00B241A8">
        <w:rPr>
          <w:rStyle w:val="Hyperlink"/>
          <w:rFonts w:asciiTheme="minorHAnsi" w:hAnsiTheme="minorHAnsi" w:cs="Times New Roman"/>
          <w:bCs/>
        </w:rPr>
        <w:t xml:space="preserve">200.321 Contracting with small and </w:t>
      </w:r>
      <w:r w:rsidR="00062504" w:rsidRPr="00B241A8">
        <w:rPr>
          <w:rStyle w:val="Hyperlink"/>
          <w:rFonts w:asciiTheme="minorHAnsi" w:hAnsiTheme="minorHAnsi" w:cs="Times New Roman"/>
          <w:bCs/>
        </w:rPr>
        <w:t>minority</w:t>
      </w:r>
      <w:r w:rsidR="00897D19" w:rsidRPr="00B241A8">
        <w:rPr>
          <w:rStyle w:val="Hyperlink"/>
          <w:rFonts w:asciiTheme="minorHAnsi" w:hAnsiTheme="minorHAnsi" w:cs="Times New Roman"/>
          <w:bCs/>
        </w:rPr>
        <w:t xml:space="preserve"> business, women’s business enterprises, and labor surplus</w:t>
      </w:r>
      <w:r w:rsidR="00062504" w:rsidRPr="00B241A8">
        <w:rPr>
          <w:rStyle w:val="Hyperlink"/>
          <w:rFonts w:asciiTheme="minorHAnsi" w:hAnsiTheme="minorHAnsi" w:cs="Times New Roman"/>
          <w:bCs/>
        </w:rPr>
        <w:t xml:space="preserve"> area firms</w:t>
      </w:r>
    </w:p>
    <w:p w:rsidR="00062504"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"https://www.gpo.gov/fdsys/pkg/CFR-2014-title2-vol1/xml/CFR-2014-title2-vol1-sec200-322.xml" </w:instrText>
      </w:r>
      <w:r w:rsidRPr="00B241A8">
        <w:rPr>
          <w:rFonts w:asciiTheme="minorHAnsi" w:hAnsiTheme="minorHAnsi" w:cs="Times New Roman"/>
          <w:bCs/>
        </w:rPr>
        <w:fldChar w:fldCharType="separate"/>
      </w:r>
      <w:r w:rsidR="00062504" w:rsidRPr="00B241A8">
        <w:rPr>
          <w:rStyle w:val="Hyperlink"/>
          <w:rFonts w:asciiTheme="minorHAnsi" w:hAnsiTheme="minorHAnsi" w:cs="Times New Roman"/>
          <w:bCs/>
        </w:rPr>
        <w:t>§ 200.322 Procurement of recovered materials</w:t>
      </w:r>
    </w:p>
    <w:p w:rsidR="00062504"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"https://www.gpo.gov/fdsys/pkg/CFR-2014-title2-vol1/xml/CFR-2014-title2-vol1-sec200-323.xml" </w:instrText>
      </w:r>
      <w:r w:rsidRPr="00B241A8">
        <w:rPr>
          <w:rFonts w:asciiTheme="minorHAnsi" w:hAnsiTheme="minorHAnsi" w:cs="Times New Roman"/>
          <w:bCs/>
        </w:rPr>
        <w:fldChar w:fldCharType="separate"/>
      </w:r>
      <w:r w:rsidR="00062504" w:rsidRPr="00B241A8">
        <w:rPr>
          <w:rStyle w:val="Hyperlink"/>
          <w:rFonts w:asciiTheme="minorHAnsi" w:hAnsiTheme="minorHAnsi" w:cs="Times New Roman"/>
          <w:bCs/>
        </w:rPr>
        <w:t>§ 200.323 Contract cost and price</w:t>
      </w:r>
    </w:p>
    <w:p w:rsidR="00062504"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"https://www.gpo.gov/fdsys/pkg/CFR-2014-title2-vol1/xml/CFR-2014-title2-vol1-sec200-324.xml" </w:instrText>
      </w:r>
      <w:r w:rsidRPr="00B241A8">
        <w:rPr>
          <w:rFonts w:asciiTheme="minorHAnsi" w:hAnsiTheme="minorHAnsi" w:cs="Times New Roman"/>
          <w:bCs/>
        </w:rPr>
        <w:fldChar w:fldCharType="separate"/>
      </w:r>
      <w:r w:rsidR="00062504" w:rsidRPr="00B241A8">
        <w:rPr>
          <w:rStyle w:val="Hyperlink"/>
          <w:rFonts w:asciiTheme="minorHAnsi" w:hAnsiTheme="minorHAnsi" w:cs="Times New Roman"/>
          <w:bCs/>
        </w:rPr>
        <w:t>§ 200.324 Federal awarding agency or pass-through entity review</w:t>
      </w:r>
    </w:p>
    <w:p w:rsidR="00062504"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"https://www.gpo.gov/fdsys/pkg/CFR-2014-title2-vol1/xml/CFR-2014-title2-vol1-sec200-325.xml" </w:instrText>
      </w:r>
      <w:r w:rsidRPr="00B241A8">
        <w:rPr>
          <w:rFonts w:asciiTheme="minorHAnsi" w:hAnsiTheme="minorHAnsi" w:cs="Times New Roman"/>
          <w:bCs/>
        </w:rPr>
        <w:fldChar w:fldCharType="separate"/>
      </w:r>
      <w:r w:rsidR="00062504" w:rsidRPr="00B241A8">
        <w:rPr>
          <w:rStyle w:val="Hyperlink"/>
          <w:rFonts w:asciiTheme="minorHAnsi" w:hAnsiTheme="minorHAnsi" w:cs="Times New Roman"/>
          <w:bCs/>
        </w:rPr>
        <w:t>§ 200.325 Bonding requirements</w:t>
      </w:r>
    </w:p>
    <w:p w:rsidR="00062504" w:rsidRPr="00B241A8" w:rsidRDefault="00B241A8" w:rsidP="00B241A8">
      <w:pPr>
        <w:pStyle w:val="Default"/>
        <w:numPr>
          <w:ilvl w:val="0"/>
          <w:numId w:val="19"/>
        </w:numPr>
        <w:spacing w:after="120"/>
        <w:ind w:left="720"/>
        <w:rPr>
          <w:rStyle w:val="hd"/>
          <w:rFonts w:asciiTheme="minorHAnsi" w:hAnsiTheme="minorHAnsi" w:cs="Times New Roman"/>
          <w:bCs/>
          <w:u w:val="single"/>
        </w:rPr>
      </w:pPr>
      <w:r w:rsidRPr="00B241A8">
        <w:rPr>
          <w:rFonts w:asciiTheme="minorHAnsi" w:hAnsiTheme="minorHAnsi" w:cs="Times New Roman"/>
          <w:bCs/>
        </w:rPr>
        <w:fldChar w:fldCharType="end"/>
      </w:r>
      <w:hyperlink r:id="rId34" w:history="1">
        <w:r w:rsidR="00062504" w:rsidRPr="00B241A8">
          <w:rPr>
            <w:rStyle w:val="Hyperlink"/>
            <w:rFonts w:asciiTheme="minorHAnsi" w:hAnsiTheme="minorHAnsi" w:cs="Times New Roman"/>
            <w:bCs/>
          </w:rPr>
          <w:t>§ 200.326 Contract provisions</w:t>
        </w:r>
        <w:r w:rsidR="000A2BD5" w:rsidRPr="00B241A8">
          <w:rPr>
            <w:rStyle w:val="Hyperlink"/>
            <w:rFonts w:asciiTheme="minorHAnsi" w:hAnsiTheme="minorHAnsi" w:cs="Times New Roman"/>
            <w:bCs/>
          </w:rPr>
          <w:t xml:space="preserve"> (must contain applicable provisions described in </w:t>
        </w:r>
      </w:hyperlink>
      <w:hyperlink r:id="rId35" w:history="1">
        <w:r w:rsidR="000A2BD5" w:rsidRPr="00B241A8">
          <w:rPr>
            <w:rStyle w:val="Hyperlink"/>
            <w:rFonts w:asciiTheme="minorHAnsi" w:hAnsiTheme="minorHAnsi"/>
            <w:i/>
          </w:rPr>
          <w:t>Appendix II to Part 200—Contract Provisions for Non-Federal Entity Contracts Under Federal Awards</w:t>
        </w:r>
      </w:hyperlink>
      <w:r w:rsidR="000A2BD5" w:rsidRPr="00B241A8">
        <w:rPr>
          <w:rStyle w:val="hd"/>
          <w:rFonts w:asciiTheme="minorHAnsi" w:hAnsiTheme="minorHAnsi"/>
          <w:u w:val="single"/>
        </w:rPr>
        <w:t>)</w:t>
      </w:r>
    </w:p>
    <w:p w:rsidR="005B1F37" w:rsidRPr="00665266" w:rsidRDefault="00E00F71" w:rsidP="005B1F37">
      <w:pPr>
        <w:pStyle w:val="Default"/>
        <w:rPr>
          <w:rStyle w:val="hd"/>
          <w:rFonts w:asciiTheme="minorHAnsi" w:hAnsiTheme="minorHAnsi" w:cs="Times New Roman"/>
          <w:bCs/>
          <w:u w:val="single"/>
        </w:rPr>
      </w:pPr>
      <w:r>
        <w:rPr>
          <w:rFonts w:asciiTheme="minorHAnsi" w:hAnsiTheme="minorHAnsi" w:cs="Times New Roman"/>
          <w:bCs/>
        </w:rPr>
        <w:t>N</w:t>
      </w:r>
      <w:r w:rsidR="005B1F37" w:rsidRPr="00665266">
        <w:rPr>
          <w:rFonts w:asciiTheme="minorHAnsi" w:hAnsiTheme="minorHAnsi" w:cs="Times New Roman"/>
          <w:bCs/>
        </w:rPr>
        <w:t>ote</w:t>
      </w:r>
      <w:r>
        <w:rPr>
          <w:rFonts w:asciiTheme="minorHAnsi" w:hAnsiTheme="minorHAnsi" w:cs="Times New Roman"/>
          <w:bCs/>
        </w:rPr>
        <w:t xml:space="preserve">: </w:t>
      </w:r>
      <w:r w:rsidR="005B1F37" w:rsidRPr="00665266">
        <w:rPr>
          <w:rFonts w:asciiTheme="minorHAnsi" w:hAnsiTheme="minorHAnsi" w:cs="Times New Roman"/>
          <w:bCs/>
        </w:rPr>
        <w:t>Federal requirements are in addition to local and state requirements.</w:t>
      </w:r>
    </w:p>
    <w:p w:rsidR="006212D8" w:rsidRPr="00665266" w:rsidRDefault="003F4E25" w:rsidP="00152460">
      <w:pPr>
        <w:pStyle w:val="Heading2"/>
      </w:pPr>
      <w:bookmarkStart w:id="28" w:name="_Toc480368194"/>
      <w:r w:rsidRPr="00665266">
        <w:t xml:space="preserve">Records </w:t>
      </w:r>
      <w:r w:rsidR="00987CEC" w:rsidRPr="00665266">
        <w:t>Retention</w:t>
      </w:r>
      <w:bookmarkEnd w:id="28"/>
    </w:p>
    <w:p w:rsidR="003F4E25" w:rsidRPr="00665266" w:rsidRDefault="003F4E25" w:rsidP="00987CEC">
      <w:pPr>
        <w:pStyle w:val="Default"/>
        <w:spacing w:after="120"/>
        <w:jc w:val="both"/>
        <w:rPr>
          <w:rFonts w:asciiTheme="minorHAnsi" w:hAnsiTheme="minorHAnsi"/>
        </w:rPr>
      </w:pPr>
      <w:r w:rsidRPr="00665266">
        <w:rPr>
          <w:rFonts w:asciiTheme="minorHAnsi" w:hAnsiTheme="minorHAnsi"/>
        </w:rPr>
        <w:t xml:space="preserve">With the acceptance of EMPG funds, </w:t>
      </w:r>
      <w:r w:rsidR="000E1DF5">
        <w:rPr>
          <w:rFonts w:asciiTheme="minorHAnsi" w:hAnsiTheme="minorHAnsi"/>
        </w:rPr>
        <w:t>Subrecipient</w:t>
      </w:r>
      <w:r w:rsidRPr="00665266">
        <w:rPr>
          <w:rFonts w:asciiTheme="minorHAnsi" w:hAnsiTheme="minorHAnsi"/>
        </w:rPr>
        <w:t xml:space="preserve">s are </w:t>
      </w:r>
      <w:r w:rsidRPr="00665266">
        <w:rPr>
          <w:rFonts w:asciiTheme="minorHAnsi" w:hAnsiTheme="minorHAnsi"/>
          <w:b/>
          <w:i/>
          <w:u w:val="single"/>
        </w:rPr>
        <w:t>required</w:t>
      </w:r>
      <w:r w:rsidRPr="00665266">
        <w:rPr>
          <w:rFonts w:asciiTheme="minorHAnsi" w:hAnsiTheme="minorHAnsi"/>
        </w:rPr>
        <w:t xml:space="preserve"> to </w:t>
      </w:r>
      <w:r w:rsidR="00142FF6" w:rsidRPr="00665266">
        <w:rPr>
          <w:rFonts w:asciiTheme="minorHAnsi" w:hAnsiTheme="minorHAnsi"/>
        </w:rPr>
        <w:t xml:space="preserve">retain grant records and documentation </w:t>
      </w:r>
      <w:r w:rsidRPr="00665266">
        <w:rPr>
          <w:rFonts w:asciiTheme="minorHAnsi" w:hAnsiTheme="minorHAnsi"/>
        </w:rPr>
        <w:t xml:space="preserve">for a period of three (3) years </w:t>
      </w:r>
      <w:r w:rsidR="004A4562" w:rsidRPr="00665266">
        <w:rPr>
          <w:rFonts w:asciiTheme="minorHAnsi" w:hAnsiTheme="minorHAnsi"/>
        </w:rPr>
        <w:t>from the State’s submission of the final expenditure report</w:t>
      </w:r>
      <w:r w:rsidR="00DD7144" w:rsidRPr="00665266">
        <w:rPr>
          <w:rFonts w:asciiTheme="minorHAnsi" w:hAnsiTheme="minorHAnsi"/>
        </w:rPr>
        <w:t xml:space="preserve"> to FEMA</w:t>
      </w:r>
      <w:r w:rsidR="004A4562" w:rsidRPr="00665266">
        <w:rPr>
          <w:rFonts w:asciiTheme="minorHAnsi" w:hAnsiTheme="minorHAnsi"/>
        </w:rPr>
        <w:t>.</w:t>
      </w:r>
      <w:r w:rsidR="002956CA" w:rsidRPr="00665266">
        <w:rPr>
          <w:rFonts w:asciiTheme="minorHAnsi" w:hAnsiTheme="minorHAnsi"/>
        </w:rPr>
        <w:t xml:space="preserve"> </w:t>
      </w:r>
      <w:r w:rsidR="004A4562" w:rsidRPr="00665266">
        <w:rPr>
          <w:rFonts w:asciiTheme="minorHAnsi" w:hAnsiTheme="minorHAnsi"/>
        </w:rPr>
        <w:t xml:space="preserve">This date will be provided on the </w:t>
      </w:r>
      <w:r w:rsidR="000E1DF5">
        <w:rPr>
          <w:rFonts w:asciiTheme="minorHAnsi" w:hAnsiTheme="minorHAnsi"/>
        </w:rPr>
        <w:t>Subrecipient</w:t>
      </w:r>
      <w:r w:rsidR="004A4562" w:rsidRPr="00665266">
        <w:rPr>
          <w:rFonts w:asciiTheme="minorHAnsi" w:hAnsiTheme="minorHAnsi"/>
        </w:rPr>
        <w:t>’s close out letter.</w:t>
      </w:r>
      <w:r w:rsidR="002956CA" w:rsidRPr="00665266">
        <w:rPr>
          <w:rFonts w:asciiTheme="minorHAnsi" w:hAnsiTheme="minorHAnsi"/>
        </w:rPr>
        <w:t xml:space="preserve"> </w:t>
      </w:r>
      <w:r w:rsidR="00142FF6" w:rsidRPr="00665266">
        <w:rPr>
          <w:rFonts w:asciiTheme="minorHAnsi" w:hAnsiTheme="minorHAnsi"/>
        </w:rPr>
        <w:t>Grant documentation includes, but is not limited to, grant applications, copies of financial reports, progress reports, expenditure reports, invoices, contracts, related correspondence and memoranda (which may include emails).</w:t>
      </w:r>
      <w:r w:rsidR="002956CA" w:rsidRPr="00665266">
        <w:rPr>
          <w:rFonts w:asciiTheme="minorHAnsi" w:hAnsiTheme="minorHAnsi"/>
        </w:rPr>
        <w:t xml:space="preserve"> </w:t>
      </w:r>
      <w:r w:rsidR="000E1DF5">
        <w:rPr>
          <w:rFonts w:asciiTheme="minorHAnsi" w:hAnsiTheme="minorHAnsi"/>
        </w:rPr>
        <w:t>Subrecipient</w:t>
      </w:r>
      <w:r w:rsidRPr="00665266">
        <w:rPr>
          <w:rFonts w:asciiTheme="minorHAnsi" w:hAnsiTheme="minorHAnsi"/>
        </w:rPr>
        <w:t xml:space="preserve">s shall </w:t>
      </w:r>
      <w:r w:rsidR="004A4562" w:rsidRPr="00665266">
        <w:rPr>
          <w:rFonts w:asciiTheme="minorHAnsi" w:hAnsiTheme="minorHAnsi"/>
        </w:rPr>
        <w:t xml:space="preserve">also </w:t>
      </w:r>
      <w:r w:rsidRPr="00665266">
        <w:rPr>
          <w:rFonts w:asciiTheme="minorHAnsi" w:hAnsiTheme="minorHAnsi"/>
        </w:rPr>
        <w:t>maintain detailed documentation of the 50% cost share (match) required by this grant.</w:t>
      </w:r>
    </w:p>
    <w:p w:rsidR="00B22667" w:rsidRPr="00665266" w:rsidRDefault="00B22667" w:rsidP="00152460">
      <w:pPr>
        <w:pStyle w:val="Heading2"/>
      </w:pPr>
      <w:bookmarkStart w:id="29" w:name="_Toc480368195"/>
      <w:r w:rsidRPr="00665266">
        <w:t>Risk Assessments (Pre-Award)</w:t>
      </w:r>
      <w:bookmarkEnd w:id="29"/>
    </w:p>
    <w:p w:rsidR="00B22667" w:rsidRPr="00665266" w:rsidRDefault="00342D1B" w:rsidP="00B22667">
      <w:pPr>
        <w:pStyle w:val="Default"/>
        <w:jc w:val="both"/>
        <w:rPr>
          <w:rFonts w:asciiTheme="minorHAnsi" w:hAnsiTheme="minorHAnsi" w:cs="Times New Roman"/>
          <w:bCs/>
        </w:rPr>
      </w:pPr>
      <w:r>
        <w:rPr>
          <w:rFonts w:asciiTheme="minorHAnsi" w:hAnsiTheme="minorHAnsi" w:cs="Times New Roman"/>
          <w:bCs/>
        </w:rPr>
        <w:t>In accordance with Federal Regulations, a</w:t>
      </w:r>
      <w:r w:rsidR="00B22667" w:rsidRPr="00665266">
        <w:rPr>
          <w:rFonts w:asciiTheme="minorHAnsi" w:hAnsiTheme="minorHAnsi" w:cs="Times New Roman"/>
          <w:bCs/>
        </w:rPr>
        <w:t xml:space="preserve"> risk assessment is </w:t>
      </w:r>
      <w:r w:rsidR="0086389C">
        <w:rPr>
          <w:rFonts w:asciiTheme="minorHAnsi" w:hAnsiTheme="minorHAnsi" w:cs="Times New Roman"/>
          <w:bCs/>
        </w:rPr>
        <w:t>conducted</w:t>
      </w:r>
      <w:r w:rsidR="00B22667" w:rsidRPr="00665266">
        <w:rPr>
          <w:rFonts w:asciiTheme="minorHAnsi" w:hAnsiTheme="minorHAnsi" w:cs="Times New Roman"/>
          <w:bCs/>
        </w:rPr>
        <w:t xml:space="preserve"> to determine the type and level of monitoring that is </w:t>
      </w:r>
      <w:r w:rsidR="00DD7144" w:rsidRPr="00665266">
        <w:rPr>
          <w:rFonts w:asciiTheme="minorHAnsi" w:hAnsiTheme="minorHAnsi" w:cs="Times New Roman"/>
          <w:bCs/>
        </w:rPr>
        <w:t>required</w:t>
      </w:r>
      <w:r w:rsidR="00B22667" w:rsidRPr="00665266">
        <w:rPr>
          <w:rFonts w:asciiTheme="minorHAnsi" w:hAnsiTheme="minorHAnsi" w:cs="Times New Roman"/>
          <w:bCs/>
        </w:rPr>
        <w:t xml:space="preserve"> for each </w:t>
      </w:r>
      <w:r w:rsidR="000E1DF5">
        <w:rPr>
          <w:rFonts w:asciiTheme="minorHAnsi" w:hAnsiTheme="minorHAnsi" w:cs="Times New Roman"/>
          <w:bCs/>
        </w:rPr>
        <w:t>Subrecipient</w:t>
      </w:r>
      <w:r w:rsidR="00B22667" w:rsidRPr="00665266">
        <w:rPr>
          <w:rFonts w:asciiTheme="minorHAnsi" w:hAnsiTheme="minorHAnsi" w:cs="Times New Roman"/>
          <w:bCs/>
        </w:rPr>
        <w:t xml:space="preserve"> </w:t>
      </w:r>
      <w:r w:rsidR="00DD7144" w:rsidRPr="00665266">
        <w:rPr>
          <w:rFonts w:asciiTheme="minorHAnsi" w:hAnsiTheme="minorHAnsi" w:cs="Times New Roman"/>
          <w:bCs/>
        </w:rPr>
        <w:t>and is completed at the</w:t>
      </w:r>
      <w:r w:rsidR="00B22667" w:rsidRPr="00665266">
        <w:rPr>
          <w:rFonts w:asciiTheme="minorHAnsi" w:hAnsiTheme="minorHAnsi" w:cs="Times New Roman"/>
          <w:bCs/>
        </w:rPr>
        <w:t xml:space="preserve"> time of application.</w:t>
      </w:r>
      <w:r w:rsidR="002956CA" w:rsidRPr="00665266">
        <w:rPr>
          <w:rFonts w:asciiTheme="minorHAnsi" w:hAnsiTheme="minorHAnsi" w:cs="Times New Roman"/>
          <w:bCs/>
        </w:rPr>
        <w:t xml:space="preserve"> </w:t>
      </w:r>
      <w:r w:rsidR="00B22667" w:rsidRPr="00665266">
        <w:rPr>
          <w:rFonts w:asciiTheme="minorHAnsi" w:hAnsiTheme="minorHAnsi" w:cs="Times New Roman"/>
          <w:bCs/>
        </w:rPr>
        <w:t>The assessment helps to identify risks to achieving grant objectives, analyzes those risks, and decides how to respond to those risks.</w:t>
      </w:r>
      <w:r w:rsidR="002956CA" w:rsidRPr="00665266">
        <w:rPr>
          <w:rFonts w:asciiTheme="minorHAnsi" w:hAnsiTheme="minorHAnsi" w:cs="Times New Roman"/>
          <w:bCs/>
        </w:rPr>
        <w:t xml:space="preserve"> </w:t>
      </w:r>
      <w:r w:rsidR="00B22667" w:rsidRPr="00665266">
        <w:rPr>
          <w:rFonts w:asciiTheme="minorHAnsi" w:hAnsiTheme="minorHAnsi" w:cs="Times New Roman"/>
          <w:bCs/>
        </w:rPr>
        <w:t xml:space="preserve">The risk assessment contains a number of scoring criteria such as the size and complexity of the grant, past audit findings, experience </w:t>
      </w:r>
      <w:r w:rsidR="00DD7144" w:rsidRPr="00665266">
        <w:rPr>
          <w:rFonts w:asciiTheme="minorHAnsi" w:hAnsiTheme="minorHAnsi" w:cs="Times New Roman"/>
          <w:bCs/>
        </w:rPr>
        <w:t xml:space="preserve">and past performance of the </w:t>
      </w:r>
      <w:r w:rsidR="00B22667" w:rsidRPr="00665266">
        <w:rPr>
          <w:rFonts w:asciiTheme="minorHAnsi" w:hAnsiTheme="minorHAnsi" w:cs="Times New Roman"/>
          <w:bCs/>
        </w:rPr>
        <w:t>applicant.</w:t>
      </w:r>
      <w:r w:rsidR="002956CA" w:rsidRPr="00665266">
        <w:rPr>
          <w:rFonts w:asciiTheme="minorHAnsi" w:hAnsiTheme="minorHAnsi" w:cs="Times New Roman"/>
          <w:bCs/>
        </w:rPr>
        <w:t xml:space="preserve"> </w:t>
      </w:r>
      <w:r w:rsidR="00B22667" w:rsidRPr="00665266">
        <w:rPr>
          <w:rFonts w:asciiTheme="minorHAnsi" w:hAnsiTheme="minorHAnsi" w:cs="Times New Roman"/>
          <w:bCs/>
        </w:rPr>
        <w:t xml:space="preserve">The level of risk (high, moderate, low) helps determine the </w:t>
      </w:r>
      <w:r w:rsidR="00B22667" w:rsidRPr="00665266">
        <w:rPr>
          <w:rFonts w:asciiTheme="minorHAnsi" w:hAnsiTheme="minorHAnsi" w:cs="Times New Roman"/>
          <w:bCs/>
        </w:rPr>
        <w:lastRenderedPageBreak/>
        <w:t xml:space="preserve">level of </w:t>
      </w:r>
      <w:r w:rsidR="000E1DF5">
        <w:rPr>
          <w:rFonts w:asciiTheme="minorHAnsi" w:hAnsiTheme="minorHAnsi" w:cs="Times New Roman"/>
          <w:bCs/>
        </w:rPr>
        <w:t>Subrecipient</w:t>
      </w:r>
      <w:r w:rsidR="00B22667" w:rsidRPr="00665266">
        <w:rPr>
          <w:rFonts w:asciiTheme="minorHAnsi" w:hAnsiTheme="minorHAnsi" w:cs="Times New Roman"/>
          <w:bCs/>
        </w:rPr>
        <w:t xml:space="preserve"> monitoring or other response by HSEM.</w:t>
      </w:r>
      <w:r w:rsidR="002956CA" w:rsidRPr="00665266">
        <w:rPr>
          <w:rFonts w:asciiTheme="minorHAnsi" w:hAnsiTheme="minorHAnsi" w:cs="Times New Roman"/>
          <w:bCs/>
        </w:rPr>
        <w:t xml:space="preserve"> </w:t>
      </w:r>
      <w:r w:rsidR="00B22667" w:rsidRPr="00665266">
        <w:rPr>
          <w:rFonts w:asciiTheme="minorHAnsi" w:hAnsiTheme="minorHAnsi" w:cs="Times New Roman"/>
          <w:bCs/>
        </w:rPr>
        <w:t>Monitoring procedures range from programmatic reviews to extensive site visit reviews.</w:t>
      </w:r>
      <w:r w:rsidR="002956CA" w:rsidRPr="00665266">
        <w:rPr>
          <w:rFonts w:asciiTheme="minorHAnsi" w:hAnsiTheme="minorHAnsi" w:cs="Times New Roman"/>
          <w:bCs/>
        </w:rPr>
        <w:t xml:space="preserve"> </w:t>
      </w:r>
      <w:r w:rsidR="00B22667" w:rsidRPr="00665266">
        <w:rPr>
          <w:rFonts w:asciiTheme="minorHAnsi" w:hAnsiTheme="minorHAnsi" w:cs="Times New Roman"/>
          <w:bCs/>
        </w:rPr>
        <w:t>A separate risk assessment is performed for each grant program that</w:t>
      </w:r>
      <w:r w:rsidR="00DD7144" w:rsidRPr="00665266">
        <w:rPr>
          <w:rFonts w:asciiTheme="minorHAnsi" w:hAnsiTheme="minorHAnsi" w:cs="Times New Roman"/>
          <w:bCs/>
        </w:rPr>
        <w:t xml:space="preserve"> the Department of Safety (</w:t>
      </w:r>
      <w:r w:rsidR="00B22667" w:rsidRPr="00665266">
        <w:rPr>
          <w:rFonts w:asciiTheme="minorHAnsi" w:hAnsiTheme="minorHAnsi" w:cs="Times New Roman"/>
          <w:bCs/>
        </w:rPr>
        <w:t>DOS</w:t>
      </w:r>
      <w:r w:rsidR="00DD7144" w:rsidRPr="00665266">
        <w:rPr>
          <w:rFonts w:asciiTheme="minorHAnsi" w:hAnsiTheme="minorHAnsi" w:cs="Times New Roman"/>
          <w:bCs/>
        </w:rPr>
        <w:t>)</w:t>
      </w:r>
      <w:r w:rsidR="00B22667" w:rsidRPr="00665266">
        <w:rPr>
          <w:rFonts w:asciiTheme="minorHAnsi" w:hAnsiTheme="minorHAnsi" w:cs="Times New Roman"/>
          <w:bCs/>
        </w:rPr>
        <w:t xml:space="preserve"> manages.</w:t>
      </w:r>
    </w:p>
    <w:p w:rsidR="00E922F8" w:rsidRPr="00665266" w:rsidRDefault="00E922F8" w:rsidP="00152460">
      <w:pPr>
        <w:pStyle w:val="Heading2"/>
      </w:pPr>
      <w:bookmarkStart w:id="30" w:name="_Toc480368196"/>
      <w:r w:rsidRPr="00665266">
        <w:t>SAFECOM Guidance</w:t>
      </w:r>
      <w:bookmarkEnd w:id="30"/>
    </w:p>
    <w:p w:rsidR="003D1982" w:rsidRPr="00665266" w:rsidRDefault="000E1DF5" w:rsidP="003A0E09">
      <w:pPr>
        <w:tabs>
          <w:tab w:val="left" w:pos="5760"/>
        </w:tabs>
        <w:spacing w:after="120"/>
        <w:rPr>
          <w:color w:val="000000"/>
        </w:rPr>
      </w:pPr>
      <w:r>
        <w:t>Subrecipient</w:t>
      </w:r>
      <w:r w:rsidR="009C61EE" w:rsidRPr="00665266">
        <w:t xml:space="preserve">s who receive awards under the EMPG that wholly or partially provide funding for emergency communication projects and related activities </w:t>
      </w:r>
      <w:r w:rsidR="00B90BC2" w:rsidRPr="00B90BC2">
        <w:rPr>
          <w:b/>
          <w:i/>
          <w:u w:val="single"/>
        </w:rPr>
        <w:t>must</w:t>
      </w:r>
      <w:r w:rsidR="009C61EE" w:rsidRPr="00665266">
        <w:t xml:space="preserve"> comply with the most recent version of the </w:t>
      </w:r>
      <w:r w:rsidR="009C61EE" w:rsidRPr="00665266">
        <w:rPr>
          <w:i/>
          <w:iCs/>
        </w:rPr>
        <w:t xml:space="preserve">SAFECOM Guidance on Emergency Communications Grants </w:t>
      </w:r>
      <w:hyperlink r:id="rId36" w:history="1">
        <w:r w:rsidR="009C61EE" w:rsidRPr="00665266">
          <w:rPr>
            <w:rStyle w:val="Hyperlink"/>
            <w:i/>
            <w:iCs/>
          </w:rPr>
          <w:t>http://www.safecomprogram.gov/grant/Default.aspx</w:t>
        </w:r>
      </w:hyperlink>
      <w:r w:rsidR="009C61EE" w:rsidRPr="00665266">
        <w:t>.</w:t>
      </w:r>
      <w:r w:rsidR="002956CA" w:rsidRPr="00665266">
        <w:t xml:space="preserve"> </w:t>
      </w:r>
      <w:r w:rsidR="009C61EE" w:rsidRPr="00665266">
        <w:rPr>
          <w:color w:val="000000"/>
          <w:lang w:val="en"/>
        </w:rPr>
        <w:t>The SAFECOM Guidance is updated annually to provide current information on emergency communications policies, eligible costs, best practices</w:t>
      </w:r>
      <w:r w:rsidR="008A40CA" w:rsidRPr="00665266">
        <w:rPr>
          <w:color w:val="000000"/>
          <w:lang w:val="en"/>
        </w:rPr>
        <w:t xml:space="preserve">, </w:t>
      </w:r>
      <w:r w:rsidR="009C61EE" w:rsidRPr="00665266">
        <w:t>and information on technical standards that ensure greater interoperability</w:t>
      </w:r>
      <w:r w:rsidR="008A40CA" w:rsidRPr="00665266">
        <w:rPr>
          <w:color w:val="000000"/>
          <w:lang w:val="en"/>
        </w:rPr>
        <w:t xml:space="preserve"> for State, local, tribal, and territorial </w:t>
      </w:r>
      <w:r>
        <w:rPr>
          <w:color w:val="000000"/>
          <w:lang w:val="en"/>
        </w:rPr>
        <w:t>Subrecipient</w:t>
      </w:r>
      <w:r w:rsidR="008A40CA" w:rsidRPr="00665266">
        <w:rPr>
          <w:color w:val="000000"/>
          <w:lang w:val="en"/>
        </w:rPr>
        <w:t>s investing Federal funds in emergency communications projects</w:t>
      </w:r>
      <w:r w:rsidR="009C61EE" w:rsidRPr="00665266">
        <w:t xml:space="preserve">. The Guidance is intended to ensure that Federally-funded investments are compatible, interoperable, and support the national goals and objectives for improving emergency communications nationwide. </w:t>
      </w:r>
      <w:r>
        <w:t>Subrecipient</w:t>
      </w:r>
      <w:r w:rsidR="009C61EE" w:rsidRPr="00665266">
        <w:t xml:space="preserve">s investing in broadband-related investments should review </w:t>
      </w:r>
      <w:hyperlink r:id="rId37" w:history="1">
        <w:r w:rsidR="009C61EE" w:rsidRPr="0086389C">
          <w:rPr>
            <w:rStyle w:val="Hyperlink"/>
            <w:i/>
            <w:iCs/>
          </w:rPr>
          <w:t>IB 386: Clarification on Use of DHS/FEMA Public Safety Grant Funds for Broadband-Related Expenditures and Investments</w:t>
        </w:r>
        <w:r w:rsidR="009C61EE" w:rsidRPr="0086389C">
          <w:rPr>
            <w:rStyle w:val="Hyperlink"/>
          </w:rPr>
          <w:t>,</w:t>
        </w:r>
      </w:hyperlink>
      <w:r w:rsidR="009C61EE" w:rsidRPr="00665266">
        <w:t xml:space="preserve"> and </w:t>
      </w:r>
      <w:r w:rsidR="003F4E25" w:rsidRPr="00665266">
        <w:rPr>
          <w:color w:val="000000"/>
        </w:rPr>
        <w:t xml:space="preserve">ensure projects support the Statewide Communication Interoperability Plan (SCIP). Contact the </w:t>
      </w:r>
      <w:r w:rsidR="003F4E25" w:rsidRPr="00665266">
        <w:rPr>
          <w:b/>
          <w:color w:val="000000"/>
        </w:rPr>
        <w:t>Statewide Interoperability Coordinator</w:t>
      </w:r>
      <w:r w:rsidR="003F4E25" w:rsidRPr="00665266">
        <w:rPr>
          <w:color w:val="000000"/>
        </w:rPr>
        <w:t xml:space="preserve"> at 603-223-8003 with any questions.</w:t>
      </w:r>
      <w:r w:rsidR="002956CA" w:rsidRPr="00665266">
        <w:rPr>
          <w:color w:val="000000"/>
        </w:rPr>
        <w:t xml:space="preserve"> </w:t>
      </w:r>
    </w:p>
    <w:p w:rsidR="003D1982" w:rsidRPr="00665266" w:rsidRDefault="003D1982" w:rsidP="00152460">
      <w:pPr>
        <w:pStyle w:val="Heading2"/>
      </w:pPr>
      <w:bookmarkStart w:id="31" w:name="_Toc480368197"/>
      <w:r w:rsidRPr="00665266">
        <w:t xml:space="preserve">Scope of Work </w:t>
      </w:r>
      <w:r w:rsidR="00F922F7">
        <w:t>Changes</w:t>
      </w:r>
      <w:bookmarkEnd w:id="31"/>
    </w:p>
    <w:p w:rsidR="003D1982" w:rsidRDefault="00571763" w:rsidP="003D1982">
      <w:pPr>
        <w:tabs>
          <w:tab w:val="left" w:pos="5760"/>
        </w:tabs>
      </w:pPr>
      <w:r>
        <w:t xml:space="preserve">Subrecipients may request a modification to their grant agreement for minor changes in the Scope of Work.  </w:t>
      </w:r>
      <w:r w:rsidR="0086389C" w:rsidRPr="00342D1B">
        <w:rPr>
          <w:b/>
          <w:u w:val="single"/>
        </w:rPr>
        <w:t>A</w:t>
      </w:r>
      <w:r w:rsidR="003D1982" w:rsidRPr="00342D1B">
        <w:rPr>
          <w:b/>
          <w:u w:val="single"/>
        </w:rPr>
        <w:t xml:space="preserve">ny </w:t>
      </w:r>
      <w:r w:rsidR="00F922F7" w:rsidRPr="00342D1B">
        <w:rPr>
          <w:b/>
          <w:u w:val="single"/>
        </w:rPr>
        <w:t>changes in the original Scope of Wo</w:t>
      </w:r>
      <w:r w:rsidR="003D1982" w:rsidRPr="00342D1B">
        <w:rPr>
          <w:b/>
          <w:u w:val="single"/>
        </w:rPr>
        <w:t xml:space="preserve">rk </w:t>
      </w:r>
      <w:r w:rsidR="00B90BC2" w:rsidRPr="00342D1B">
        <w:rPr>
          <w:b/>
          <w:i/>
          <w:u w:val="single"/>
        </w:rPr>
        <w:t>must</w:t>
      </w:r>
      <w:r w:rsidR="0086389C" w:rsidRPr="00342D1B">
        <w:rPr>
          <w:b/>
          <w:u w:val="single"/>
        </w:rPr>
        <w:t xml:space="preserve"> have prior approval</w:t>
      </w:r>
      <w:r w:rsidR="00B14E7C" w:rsidRPr="00342D1B">
        <w:rPr>
          <w:b/>
          <w:u w:val="single"/>
        </w:rPr>
        <w:t xml:space="preserve"> by the EMPG Program Coordinator and/or Program Manager</w:t>
      </w:r>
      <w:r w:rsidR="0086389C">
        <w:t xml:space="preserve">. </w:t>
      </w:r>
      <w:r>
        <w:t xml:space="preserve"> </w:t>
      </w:r>
      <w:r w:rsidR="0086389C">
        <w:t>R</w:t>
      </w:r>
      <w:r w:rsidR="003D1982" w:rsidRPr="00665266">
        <w:t>equests</w:t>
      </w:r>
      <w:r w:rsidR="00F922F7">
        <w:t xml:space="preserve"> for Scope of W</w:t>
      </w:r>
      <w:r w:rsidR="0086389C">
        <w:t xml:space="preserve">ork changes </w:t>
      </w:r>
      <w:r w:rsidR="0086389C" w:rsidRPr="00B90BC2">
        <w:rPr>
          <w:b/>
          <w:i/>
          <w:u w:val="single"/>
        </w:rPr>
        <w:t>must</w:t>
      </w:r>
      <w:r w:rsidR="0086389C">
        <w:t xml:space="preserve"> be submitted</w:t>
      </w:r>
      <w:r w:rsidR="003D1982" w:rsidRPr="00665266">
        <w:t xml:space="preserve"> well in advance of the grant’s expiration date to allow for adequate review and approval, if allowable.</w:t>
      </w:r>
      <w:r w:rsidR="00F922F7">
        <w:t xml:space="preserve">  Subrecipients should submit a </w:t>
      </w:r>
      <w:r w:rsidR="00F922F7" w:rsidRPr="00571763">
        <w:rPr>
          <w:b/>
          <w:i/>
        </w:rPr>
        <w:t xml:space="preserve">Grant </w:t>
      </w:r>
      <w:r w:rsidR="00342D1B">
        <w:rPr>
          <w:b/>
          <w:i/>
        </w:rPr>
        <w:t>Change</w:t>
      </w:r>
      <w:r w:rsidR="00F922F7" w:rsidRPr="00571763">
        <w:rPr>
          <w:b/>
          <w:i/>
        </w:rPr>
        <w:t xml:space="preserve"> Request</w:t>
      </w:r>
      <w:r w:rsidRPr="00571763">
        <w:rPr>
          <w:i/>
        </w:rPr>
        <w:t xml:space="preserve"> </w:t>
      </w:r>
      <w:r w:rsidRPr="00571763">
        <w:rPr>
          <w:b/>
          <w:i/>
        </w:rPr>
        <w:t>F</w:t>
      </w:r>
      <w:r w:rsidR="00F922F7" w:rsidRPr="00571763">
        <w:rPr>
          <w:b/>
          <w:i/>
        </w:rPr>
        <w:t>orm</w:t>
      </w:r>
      <w:r w:rsidR="00F922F7">
        <w:t xml:space="preserve"> which includes a written justification for any </w:t>
      </w:r>
      <w:r w:rsidR="00342D1B">
        <w:t>changes being proposed</w:t>
      </w:r>
      <w:r w:rsidR="00F922F7">
        <w:t xml:space="preserve">.  This form can be found on HSEM’s Resource Center located here:  </w:t>
      </w:r>
      <w:hyperlink r:id="rId38" w:history="1">
        <w:r w:rsidR="00F922F7" w:rsidRPr="00F43C3C">
          <w:rPr>
            <w:rStyle w:val="Hyperlink"/>
          </w:rPr>
          <w:t>https://apps.nh.gov/blogs/hsem/?page_id=419</w:t>
        </w:r>
      </w:hyperlink>
    </w:p>
    <w:p w:rsidR="00EE710C" w:rsidRPr="00665266" w:rsidRDefault="00EE710C" w:rsidP="00152460">
      <w:pPr>
        <w:pStyle w:val="Heading2"/>
      </w:pPr>
      <w:bookmarkStart w:id="32" w:name="_Toc480368198"/>
      <w:r w:rsidRPr="00665266">
        <w:t>Special Conditions</w:t>
      </w:r>
      <w:bookmarkEnd w:id="32"/>
    </w:p>
    <w:p w:rsidR="00EE710C" w:rsidRPr="00665266" w:rsidRDefault="000E1DF5" w:rsidP="003D1982">
      <w:pPr>
        <w:tabs>
          <w:tab w:val="left" w:pos="5760"/>
        </w:tabs>
      </w:pPr>
      <w:r>
        <w:t>Subrecipient</w:t>
      </w:r>
      <w:r w:rsidR="00EE710C" w:rsidRPr="00665266">
        <w:t xml:space="preserve">s shall be aware of and adhere to all special conditions and assurances that are included with the </w:t>
      </w:r>
      <w:r>
        <w:t>Subrecipient</w:t>
      </w:r>
      <w:r w:rsidR="00EE710C" w:rsidRPr="00665266">
        <w:t xml:space="preserve"> grant award package.</w:t>
      </w:r>
      <w:r w:rsidR="002956CA" w:rsidRPr="00665266">
        <w:t xml:space="preserve"> </w:t>
      </w:r>
      <w:r w:rsidR="00EE710C" w:rsidRPr="00665266">
        <w:t>This also includes any standard and special conditions outlined in the EHP Review’s Clearance Memo, if applicable.</w:t>
      </w:r>
    </w:p>
    <w:p w:rsidR="00015306" w:rsidRPr="00665266" w:rsidRDefault="003F4E25" w:rsidP="00152460">
      <w:pPr>
        <w:pStyle w:val="Heading2"/>
      </w:pPr>
      <w:bookmarkStart w:id="33" w:name="_Toc480368199"/>
      <w:r w:rsidRPr="00665266">
        <w:t>Supplanting</w:t>
      </w:r>
      <w:bookmarkEnd w:id="33"/>
    </w:p>
    <w:p w:rsidR="00B9655C" w:rsidRPr="00665266" w:rsidRDefault="00B9655C" w:rsidP="00B9655C">
      <w:pPr>
        <w:tabs>
          <w:tab w:val="left" w:pos="5760"/>
        </w:tabs>
        <w:spacing w:after="120"/>
      </w:pPr>
      <w:r w:rsidRPr="00665266">
        <w:t xml:space="preserve">FEMA’s non-supplanting requirement states that grant funds </w:t>
      </w:r>
      <w:r w:rsidRPr="00B90BC2">
        <w:rPr>
          <w:b/>
          <w:i/>
          <w:u w:val="single"/>
        </w:rPr>
        <w:t>must</w:t>
      </w:r>
      <w:r w:rsidRPr="00665266">
        <w:t xml:space="preserve"> never replace (supplant) funds that have been budgeted for the same purpose through non-Federal</w:t>
      </w:r>
      <w:r w:rsidR="00C835A4" w:rsidRPr="00665266">
        <w:t xml:space="preserve"> sources. Grant funds should in</w:t>
      </w:r>
      <w:r w:rsidRPr="00665266">
        <w:t xml:space="preserve">crease the overall amount of resources available, and </w:t>
      </w:r>
      <w:r w:rsidR="000E1DF5">
        <w:t>Subrecipient</w:t>
      </w:r>
      <w:r w:rsidR="000D4F72" w:rsidRPr="00665266">
        <w:t>s</w:t>
      </w:r>
      <w:r w:rsidRPr="00665266">
        <w:t xml:space="preserve"> </w:t>
      </w:r>
      <w:r w:rsidRPr="00B90BC2">
        <w:rPr>
          <w:b/>
          <w:i/>
          <w:u w:val="single"/>
        </w:rPr>
        <w:t>mu</w:t>
      </w:r>
      <w:r w:rsidR="00C835A4" w:rsidRPr="00B90BC2">
        <w:rPr>
          <w:b/>
          <w:i/>
          <w:u w:val="single"/>
        </w:rPr>
        <w:t>st</w:t>
      </w:r>
      <w:r w:rsidR="00C835A4" w:rsidRPr="00665266">
        <w:t xml:space="preserve"> ensure that the current over</w:t>
      </w:r>
      <w:r w:rsidRPr="00665266">
        <w:t>all level of funding to support objectives (absent exigent circumstances) is not reduced because of Federal funds.</w:t>
      </w:r>
      <w:r w:rsidR="002956CA" w:rsidRPr="00665266">
        <w:t xml:space="preserve"> </w:t>
      </w:r>
      <w:r w:rsidR="00E00F71">
        <w:rPr>
          <w:i/>
        </w:rPr>
        <w:t>N</w:t>
      </w:r>
      <w:r w:rsidR="00E00C99" w:rsidRPr="00665266">
        <w:rPr>
          <w:i/>
        </w:rPr>
        <w:t>ote:</w:t>
      </w:r>
      <w:r w:rsidR="002956CA" w:rsidRPr="00665266">
        <w:rPr>
          <w:i/>
        </w:rPr>
        <w:t xml:space="preserve"> </w:t>
      </w:r>
      <w:r w:rsidR="00E00C99" w:rsidRPr="00665266">
        <w:rPr>
          <w:i/>
        </w:rPr>
        <w:t>Budgeting for matching funds is not considered supplanting and is allowable under the EMPG Program as long as it is clearly identified as such.</w:t>
      </w:r>
      <w:r w:rsidR="00E00C99" w:rsidRPr="00665266">
        <w:t xml:space="preserve"> </w:t>
      </w:r>
    </w:p>
    <w:p w:rsidR="00EE710C" w:rsidRPr="00665266" w:rsidRDefault="00EE710C" w:rsidP="00152460">
      <w:pPr>
        <w:pStyle w:val="Heading2"/>
      </w:pPr>
      <w:bookmarkStart w:id="34" w:name="_Toc480368200"/>
      <w:r w:rsidRPr="00665266">
        <w:lastRenderedPageBreak/>
        <w:t>System for Award Management (SAM)</w:t>
      </w:r>
      <w:bookmarkEnd w:id="34"/>
    </w:p>
    <w:p w:rsidR="00EE710C" w:rsidRPr="00665266" w:rsidRDefault="000E1DF5" w:rsidP="00B9655C">
      <w:pPr>
        <w:tabs>
          <w:tab w:val="left" w:pos="5760"/>
        </w:tabs>
        <w:spacing w:after="120"/>
      </w:pPr>
      <w:r>
        <w:t>Subrecipient</w:t>
      </w:r>
      <w:r w:rsidR="00EE710C" w:rsidRPr="00665266">
        <w:t xml:space="preserve">s </w:t>
      </w:r>
      <w:r w:rsidR="00EE710C" w:rsidRPr="00B90BC2">
        <w:rPr>
          <w:b/>
          <w:i/>
          <w:u w:val="single"/>
        </w:rPr>
        <w:t>must</w:t>
      </w:r>
      <w:r w:rsidR="00EE710C" w:rsidRPr="00665266">
        <w:t xml:space="preserve"> maintain an updated and current SAM registration at </w:t>
      </w:r>
      <w:hyperlink r:id="rId39" w:history="1">
        <w:r w:rsidR="002C7877">
          <w:rPr>
            <w:rStyle w:val="Hyperlink"/>
          </w:rPr>
          <w:t>www.sam.gov</w:t>
        </w:r>
      </w:hyperlink>
      <w:r w:rsidR="004636D2" w:rsidRPr="00665266">
        <w:t>.</w:t>
      </w:r>
      <w:r w:rsidR="00EE710C" w:rsidRPr="00665266">
        <w:t xml:space="preserve"> The </w:t>
      </w:r>
      <w:r w:rsidR="004636D2" w:rsidRPr="00665266">
        <w:t>EMPG Program Coordinator</w:t>
      </w:r>
      <w:r w:rsidR="00EE710C" w:rsidRPr="00665266">
        <w:t xml:space="preserve"> will verify that each </w:t>
      </w:r>
      <w:r w:rsidR="00DD7144" w:rsidRPr="00665266">
        <w:t>applicant</w:t>
      </w:r>
      <w:r w:rsidR="00EE710C" w:rsidRPr="00665266">
        <w:t>’s organization’s name, address, DUNS number and E</w:t>
      </w:r>
      <w:r w:rsidR="002C7877">
        <w:t xml:space="preserve">mployer </w:t>
      </w:r>
      <w:r w:rsidR="002C7877" w:rsidRPr="00665266">
        <w:t>I</w:t>
      </w:r>
      <w:r w:rsidR="002C7877">
        <w:t xml:space="preserve">dentification </w:t>
      </w:r>
      <w:r w:rsidR="00EE710C" w:rsidRPr="00665266">
        <w:t>N</w:t>
      </w:r>
      <w:r w:rsidR="002C7877">
        <w:t>umber (EIN)</w:t>
      </w:r>
      <w:r w:rsidR="00EE710C" w:rsidRPr="00665266">
        <w:t xml:space="preserve"> are up</w:t>
      </w:r>
      <w:r w:rsidR="004636D2" w:rsidRPr="00665266">
        <w:t>-</w:t>
      </w:r>
      <w:r w:rsidR="00EE710C" w:rsidRPr="00665266">
        <w:t>to</w:t>
      </w:r>
      <w:r w:rsidR="004636D2" w:rsidRPr="00665266">
        <w:t>-</w:t>
      </w:r>
      <w:r w:rsidR="00EE710C" w:rsidRPr="00665266">
        <w:t>date in SAM and that the DUNS number used in SAM is the same one used to apply for all FEMA awards.</w:t>
      </w:r>
      <w:r w:rsidR="002956CA" w:rsidRPr="00665266">
        <w:t xml:space="preserve"> </w:t>
      </w:r>
      <w:r w:rsidR="00EE710C" w:rsidRPr="00665266">
        <w:t>Future payments will be contingent on the information provided in SAM; therefore it is imperative that the information is correct.</w:t>
      </w:r>
    </w:p>
    <w:p w:rsidR="00AC4589" w:rsidRPr="00665266" w:rsidRDefault="00AC4589" w:rsidP="00152460">
      <w:pPr>
        <w:pStyle w:val="Heading2"/>
      </w:pPr>
      <w:bookmarkStart w:id="35" w:name="_Toc480368201"/>
      <w:r w:rsidRPr="00665266">
        <w:t>Use and Disposition of Equipment</w:t>
      </w:r>
      <w:bookmarkEnd w:id="35"/>
    </w:p>
    <w:p w:rsidR="001148AB" w:rsidRPr="00665266" w:rsidRDefault="000E1DF5" w:rsidP="00AC4589">
      <w:pPr>
        <w:tabs>
          <w:tab w:val="left" w:pos="5760"/>
        </w:tabs>
        <w:spacing w:after="120"/>
      </w:pPr>
      <w:r>
        <w:t>Subrecipient</w:t>
      </w:r>
      <w:r w:rsidR="00AC4589" w:rsidRPr="00665266">
        <w:t xml:space="preserve">s </w:t>
      </w:r>
      <w:r w:rsidR="00AC4589" w:rsidRPr="003B1D2E">
        <w:rPr>
          <w:b/>
          <w:i/>
          <w:u w:val="single"/>
        </w:rPr>
        <w:t>must</w:t>
      </w:r>
      <w:r w:rsidR="00AC4589" w:rsidRPr="00665266">
        <w:t xml:space="preserve"> use, manage and dispose of equipment acquired under this Federal award in accordance with </w:t>
      </w:r>
      <w:hyperlink r:id="rId40" w:history="1">
        <w:r w:rsidR="00AC4589" w:rsidRPr="00665266">
          <w:rPr>
            <w:rStyle w:val="Hyperlink"/>
          </w:rPr>
          <w:t xml:space="preserve">2 </w:t>
        </w:r>
        <w:r w:rsidR="00457696">
          <w:rPr>
            <w:rStyle w:val="Hyperlink"/>
          </w:rPr>
          <w:t>C.F.R.</w:t>
        </w:r>
        <w:r w:rsidR="00AC4589" w:rsidRPr="00665266">
          <w:rPr>
            <w:rStyle w:val="Hyperlink"/>
          </w:rPr>
          <w:t xml:space="preserve"> § 200.313(c) through (e)</w:t>
        </w:r>
      </w:hyperlink>
      <w:r w:rsidR="00B30DE7">
        <w:rPr>
          <w:rStyle w:val="Hyperlink"/>
          <w:u w:val="none"/>
        </w:rPr>
        <w:t xml:space="preserve"> </w:t>
      </w:r>
      <w:r w:rsidR="00B30DE7" w:rsidRPr="00B30DE7">
        <w:rPr>
          <w:rStyle w:val="Hyperlink"/>
          <w:color w:val="000000" w:themeColor="text1"/>
          <w:u w:val="none"/>
        </w:rPr>
        <w:t>and</w:t>
      </w:r>
      <w:r w:rsidR="00B30DE7">
        <w:rPr>
          <w:rStyle w:val="Hyperlink"/>
          <w:color w:val="000000" w:themeColor="text1"/>
          <w:u w:val="none"/>
        </w:rPr>
        <w:t xml:space="preserve"> must also comply with State equipment policies</w:t>
      </w:r>
      <w:r w:rsidR="00AC4589" w:rsidRPr="00B30DE7">
        <w:rPr>
          <w:color w:val="000000" w:themeColor="text1"/>
        </w:rPr>
        <w:t>.</w:t>
      </w:r>
      <w:r w:rsidR="00AC4589" w:rsidRPr="00665266">
        <w:t xml:space="preserve"> </w:t>
      </w:r>
      <w:r>
        <w:t>Subrecipient</w:t>
      </w:r>
      <w:r w:rsidR="001148AB" w:rsidRPr="00665266">
        <w:t xml:space="preserve">s </w:t>
      </w:r>
      <w:r w:rsidR="003B1D2E">
        <w:rPr>
          <w:b/>
          <w:i/>
          <w:u w:val="single"/>
        </w:rPr>
        <w:t>must</w:t>
      </w:r>
      <w:r w:rsidR="001148AB" w:rsidRPr="00665266">
        <w:t xml:space="preserve"> assure an effective system for property management exists; this assurance is certified </w:t>
      </w:r>
      <w:r w:rsidR="00447F53" w:rsidRPr="00665266">
        <w:t>in their EMPG grant application and a description of their property management system is required to be provided at the same time</w:t>
      </w:r>
      <w:r w:rsidR="001148AB" w:rsidRPr="00665266">
        <w:t>.</w:t>
      </w:r>
      <w:r w:rsidR="002956CA" w:rsidRPr="00665266">
        <w:t xml:space="preserve"> </w:t>
      </w:r>
    </w:p>
    <w:p w:rsidR="00AC4589" w:rsidRPr="00665266" w:rsidRDefault="00AC4589" w:rsidP="00AC4589">
      <w:pPr>
        <w:tabs>
          <w:tab w:val="left" w:pos="5760"/>
        </w:tabs>
        <w:spacing w:after="120"/>
      </w:pPr>
      <w:r w:rsidRPr="00665266">
        <w:rPr>
          <w:b/>
        </w:rPr>
        <w:t>Disposition</w:t>
      </w:r>
      <w:r w:rsidR="00F06C52" w:rsidRPr="00665266">
        <w:rPr>
          <w:b/>
        </w:rPr>
        <w:t xml:space="preserve"> </w:t>
      </w:r>
      <w:r w:rsidRPr="00665266">
        <w:t xml:space="preserve">– For items of equipment with a current per unit fair market value greater than $250.00, </w:t>
      </w:r>
      <w:r w:rsidR="00AA6983" w:rsidRPr="00665266">
        <w:t xml:space="preserve">refer to </w:t>
      </w:r>
      <w:hyperlink r:id="rId41" w:history="1">
        <w:r w:rsidRPr="00457696">
          <w:rPr>
            <w:rStyle w:val="Hyperlink"/>
          </w:rPr>
          <w:t xml:space="preserve">2 </w:t>
        </w:r>
        <w:r w:rsidR="00457696">
          <w:rPr>
            <w:rStyle w:val="Hyperlink"/>
          </w:rPr>
          <w:t>C.F.R.</w:t>
        </w:r>
        <w:r w:rsidRPr="00457696">
          <w:rPr>
            <w:rStyle w:val="Hyperlink"/>
          </w:rPr>
          <w:t xml:space="preserve"> § 200.313, Subsection (e)</w:t>
        </w:r>
      </w:hyperlink>
      <w:r w:rsidRPr="00665266">
        <w:t xml:space="preserve"> that cover</w:t>
      </w:r>
      <w:r w:rsidR="00AA6983" w:rsidRPr="00665266">
        <w:t>s</w:t>
      </w:r>
      <w:r w:rsidRPr="00665266">
        <w:t xml:space="preserve"> retention, selling and transferring title</w:t>
      </w:r>
      <w:r w:rsidR="00B30DE7">
        <w:t xml:space="preserve">.  </w:t>
      </w:r>
      <w:r w:rsidR="000E1DF5">
        <w:t>Subrecipient</w:t>
      </w:r>
      <w:r w:rsidRPr="00665266">
        <w:t xml:space="preserve">s should </w:t>
      </w:r>
      <w:r w:rsidR="00B30DE7">
        <w:t xml:space="preserve">notify the EMPG Program Coordinator of the need for disposition and include the following information:  Description of the property, serial number or other identification number, grant under which equipment was purchased (EMPG), current per-unit fair market value, and proposed method of disposition. The </w:t>
      </w:r>
      <w:r w:rsidRPr="00665266">
        <w:t>EMPG Program Coordinator</w:t>
      </w:r>
      <w:r w:rsidR="00B30DE7">
        <w:t xml:space="preserve"> will provide</w:t>
      </w:r>
      <w:r w:rsidR="00174312">
        <w:t xml:space="preserve"> appropriate disposition steps</w:t>
      </w:r>
      <w:r w:rsidRPr="00665266">
        <w:t>.</w:t>
      </w:r>
      <w:r w:rsidR="002956CA" w:rsidRPr="00665266">
        <w:t xml:space="preserve"> </w:t>
      </w:r>
    </w:p>
    <w:p w:rsidR="009338E8" w:rsidRDefault="009338E8">
      <w:pPr>
        <w:spacing w:after="200" w:line="276" w:lineRule="auto"/>
        <w:jc w:val="left"/>
        <w:rPr>
          <w:rFonts w:eastAsiaTheme="majorEastAsia" w:cstheme="majorBidi"/>
          <w:b/>
          <w:bCs/>
          <w:color w:val="FFFFFF" w:themeColor="background1"/>
          <w:sz w:val="28"/>
          <w:szCs w:val="28"/>
        </w:rPr>
      </w:pPr>
      <w:r>
        <w:br w:type="page"/>
      </w:r>
    </w:p>
    <w:p w:rsidR="00453F93" w:rsidRPr="00665266" w:rsidRDefault="00453F93" w:rsidP="00152460">
      <w:pPr>
        <w:pStyle w:val="Heading1"/>
        <w:rPr>
          <w:u w:val="single"/>
        </w:rPr>
      </w:pPr>
      <w:bookmarkStart w:id="36" w:name="_Toc480368202"/>
      <w:r w:rsidRPr="00665266">
        <w:lastRenderedPageBreak/>
        <w:t>Allowable Costs</w:t>
      </w:r>
      <w:bookmarkEnd w:id="36"/>
    </w:p>
    <w:p w:rsidR="003F4E25" w:rsidRPr="00665266" w:rsidRDefault="003F4E25" w:rsidP="002469DA">
      <w:pPr>
        <w:autoSpaceDE w:val="0"/>
        <w:autoSpaceDN w:val="0"/>
        <w:adjustRightInd w:val="0"/>
        <w:spacing w:after="120"/>
      </w:pPr>
      <w:r w:rsidRPr="00665266">
        <w:t xml:space="preserve">The following list of possible projects and activities is meant to guide </w:t>
      </w:r>
      <w:r w:rsidR="00C83BC1">
        <w:t>the applicant</w:t>
      </w:r>
      <w:r w:rsidRPr="00665266">
        <w:t xml:space="preserve"> in selecting projects for an EMPG grant submission. This list of suggested projects is not intended to be all-inclusive. Local communities or agencies may have other specific projects and activities th</w:t>
      </w:r>
      <w:r w:rsidR="00BF0F9A" w:rsidRPr="00665266">
        <w:t>at reflect specific local needs.</w:t>
      </w:r>
    </w:p>
    <w:p w:rsidR="00264AFE" w:rsidRPr="00665266" w:rsidRDefault="00264AFE" w:rsidP="00152460">
      <w:pPr>
        <w:pStyle w:val="Heading2"/>
      </w:pPr>
      <w:bookmarkStart w:id="37" w:name="_Toc480368203"/>
      <w:r w:rsidRPr="00665266">
        <w:t>A.</w:t>
      </w:r>
      <w:r w:rsidR="002956CA" w:rsidRPr="00665266">
        <w:t xml:space="preserve"> </w:t>
      </w:r>
      <w:r w:rsidRPr="00665266">
        <w:t>Planning</w:t>
      </w:r>
      <w:bookmarkEnd w:id="37"/>
    </w:p>
    <w:p w:rsidR="003F4E25" w:rsidRPr="00665266" w:rsidRDefault="003F4E25" w:rsidP="000D4F72">
      <w:pPr>
        <w:pStyle w:val="Default"/>
        <w:jc w:val="both"/>
        <w:rPr>
          <w:rFonts w:asciiTheme="minorHAnsi" w:hAnsiTheme="minorHAnsi" w:cs="Times New Roman"/>
        </w:rPr>
      </w:pPr>
      <w:r w:rsidRPr="00665266">
        <w:rPr>
          <w:rFonts w:asciiTheme="minorHAnsi" w:hAnsiTheme="minorHAnsi" w:cs="Times New Roman"/>
        </w:rPr>
        <w:t xml:space="preserve">EMPG Program funds may be used for a range of emergency management planning activities. Planning provides a methodical way to engage the whole community in thinking through the life cycle of potential crises, determining required capabilities, and establishing a framework for roles and responsibilities. Planning </w:t>
      </w:r>
      <w:r w:rsidRPr="003B1D2E">
        <w:rPr>
          <w:rFonts w:asciiTheme="minorHAnsi" w:hAnsiTheme="minorHAnsi" w:cs="Times New Roman"/>
          <w:b/>
          <w:i/>
          <w:u w:val="single"/>
        </w:rPr>
        <w:t>must</w:t>
      </w:r>
      <w:r w:rsidRPr="00665266">
        <w:rPr>
          <w:rFonts w:asciiTheme="minorHAnsi" w:hAnsiTheme="minorHAnsi" w:cs="Times New Roman"/>
        </w:rPr>
        <w:t xml:space="preserve"> include participation from all stakeholders in the community who are able to contribute critical perspectives and may have a role in executing the plan.</w:t>
      </w:r>
      <w:r w:rsidR="002956CA" w:rsidRPr="00665266">
        <w:rPr>
          <w:rFonts w:asciiTheme="minorHAnsi" w:hAnsiTheme="minorHAnsi" w:cs="Times New Roman"/>
        </w:rPr>
        <w:t xml:space="preserve"> </w:t>
      </w:r>
      <w:r w:rsidRPr="00665266">
        <w:rPr>
          <w:rFonts w:asciiTheme="minorHAnsi" w:hAnsiTheme="minorHAnsi" w:cs="Times New Roman"/>
        </w:rPr>
        <w:t xml:space="preserve">Planning should be </w:t>
      </w:r>
      <w:r w:rsidR="000D4F72" w:rsidRPr="00665266">
        <w:rPr>
          <w:rFonts w:asciiTheme="minorHAnsi" w:hAnsiTheme="minorHAnsi" w:cs="Times New Roman"/>
        </w:rPr>
        <w:t>all-hazards focused based upon the most probable threats and hazards identified within the State Hazard Mitigation Plan, State Threat and Hazard Identification and Risk Assessment (THIRA), and the local jurisdiction’s Multi-Hazard Mitigation Plan (as appropriate).</w:t>
      </w:r>
    </w:p>
    <w:p w:rsidR="000D4F72" w:rsidRPr="00665266" w:rsidRDefault="000D4F72" w:rsidP="000D4F72">
      <w:pPr>
        <w:pStyle w:val="Default"/>
        <w:jc w:val="both"/>
        <w:rPr>
          <w:rFonts w:asciiTheme="minorHAnsi" w:hAnsiTheme="minorHAnsi" w:cs="Times New Roman"/>
        </w:rPr>
      </w:pPr>
    </w:p>
    <w:p w:rsidR="003F4E25" w:rsidRPr="00665266" w:rsidRDefault="003F4E25" w:rsidP="00F75E27">
      <w:pPr>
        <w:spacing w:after="120"/>
      </w:pPr>
      <w:r w:rsidRPr="00665266">
        <w:t xml:space="preserve">The following two (2) plans are considered </w:t>
      </w:r>
      <w:r w:rsidR="00BF0F9A" w:rsidRPr="00665266">
        <w:rPr>
          <w:b/>
          <w:color w:val="C00000"/>
          <w:u w:val="single"/>
        </w:rPr>
        <w:t xml:space="preserve">HIGH </w:t>
      </w:r>
      <w:r w:rsidRPr="00665266">
        <w:rPr>
          <w:b/>
          <w:color w:val="C00000"/>
          <w:u w:val="single"/>
        </w:rPr>
        <w:t>PRIORITY</w:t>
      </w:r>
      <w:r w:rsidRPr="00665266">
        <w:rPr>
          <w:b/>
        </w:rPr>
        <w:t xml:space="preserve"> </w:t>
      </w:r>
      <w:r w:rsidRPr="00665266">
        <w:t>planning projects:</w:t>
      </w:r>
    </w:p>
    <w:p w:rsidR="00015306" w:rsidRPr="00665266" w:rsidRDefault="00015306" w:rsidP="004F5007">
      <w:pPr>
        <w:pStyle w:val="Heading3"/>
        <w:numPr>
          <w:ilvl w:val="0"/>
          <w:numId w:val="34"/>
        </w:numPr>
      </w:pPr>
      <w:bookmarkStart w:id="38" w:name="_Toc480368204"/>
      <w:r w:rsidRPr="00665266">
        <w:t>Local Emergency Operations Plan (LEOP)</w:t>
      </w:r>
      <w:bookmarkEnd w:id="38"/>
    </w:p>
    <w:p w:rsidR="00BF0F9A" w:rsidRPr="00665266" w:rsidRDefault="00BF0F9A" w:rsidP="00BF0F9A">
      <w:pPr>
        <w:spacing w:after="120"/>
        <w:ind w:left="360"/>
        <w:rPr>
          <w:bCs/>
          <w:color w:val="0000FF" w:themeColor="hyperlink"/>
          <w:u w:val="single"/>
        </w:rPr>
      </w:pPr>
      <w:r w:rsidRPr="00665266">
        <w:rPr>
          <w:bCs/>
        </w:rPr>
        <w:t>The EMPG Program will fund the development/update of a</w:t>
      </w:r>
      <w:r w:rsidR="000D4F72" w:rsidRPr="00665266">
        <w:rPr>
          <w:bCs/>
        </w:rPr>
        <w:t xml:space="preserve"> community’s </w:t>
      </w:r>
      <w:r w:rsidRPr="00665266">
        <w:rPr>
          <w:bCs/>
        </w:rPr>
        <w:t>LEOP</w:t>
      </w:r>
      <w:r w:rsidR="003F4E25" w:rsidRPr="00665266">
        <w:rPr>
          <w:bCs/>
        </w:rPr>
        <w:t xml:space="preserve"> using the </w:t>
      </w:r>
      <w:r w:rsidR="00C83BC1">
        <w:rPr>
          <w:bCs/>
        </w:rPr>
        <w:t>current</w:t>
      </w:r>
      <w:r w:rsidR="000D4F72" w:rsidRPr="00665266">
        <w:rPr>
          <w:bCs/>
        </w:rPr>
        <w:t xml:space="preserve"> </w:t>
      </w:r>
      <w:r w:rsidRPr="00665266">
        <w:rPr>
          <w:bCs/>
        </w:rPr>
        <w:t xml:space="preserve">template, which can be found </w:t>
      </w:r>
      <w:r w:rsidR="000D4F72" w:rsidRPr="00665266">
        <w:rPr>
          <w:bCs/>
        </w:rPr>
        <w:t xml:space="preserve">at </w:t>
      </w:r>
      <w:hyperlink r:id="rId42" w:history="1">
        <w:r w:rsidR="003F4E25" w:rsidRPr="00665266">
          <w:rPr>
            <w:rStyle w:val="Hyperlink"/>
            <w:bCs/>
          </w:rPr>
          <w:t>https://apps.nh.gov/blogs/hsem/?page_id=1116</w:t>
        </w:r>
      </w:hyperlink>
      <w:r w:rsidRPr="00665266">
        <w:rPr>
          <w:bCs/>
        </w:rPr>
        <w:t xml:space="preserve">. The LEOP </w:t>
      </w:r>
      <w:r w:rsidRPr="003B1D2E">
        <w:rPr>
          <w:b/>
          <w:bCs/>
          <w:i/>
          <w:u w:val="single"/>
        </w:rPr>
        <w:t>must</w:t>
      </w:r>
      <w:r w:rsidRPr="00665266">
        <w:rPr>
          <w:bCs/>
        </w:rPr>
        <w:t xml:space="preserve"> be consistent with the Comprehensive Preparedness Guide (CPG) 101 v.2, November 2010. This serves as the foundation for State and </w:t>
      </w:r>
      <w:r w:rsidR="000D4F72" w:rsidRPr="00665266">
        <w:rPr>
          <w:bCs/>
        </w:rPr>
        <w:t>l</w:t>
      </w:r>
      <w:r w:rsidRPr="00665266">
        <w:rPr>
          <w:bCs/>
        </w:rPr>
        <w:t>ocal</w:t>
      </w:r>
      <w:r w:rsidR="000D4F72" w:rsidRPr="00665266">
        <w:rPr>
          <w:bCs/>
        </w:rPr>
        <w:t xml:space="preserve"> e</w:t>
      </w:r>
      <w:r w:rsidRPr="00665266">
        <w:rPr>
          <w:bCs/>
        </w:rPr>
        <w:t xml:space="preserve">mergency planning. CPG 101 can be found at </w:t>
      </w:r>
      <w:hyperlink r:id="rId43" w:history="1">
        <w:r w:rsidRPr="00665266">
          <w:rPr>
            <w:rStyle w:val="Hyperlink"/>
            <w:bCs/>
          </w:rPr>
          <w:t>http://www.fema.gov/pdf/about/divisions/npd/CPG_101_V2.pdf</w:t>
        </w:r>
      </w:hyperlink>
    </w:p>
    <w:p w:rsidR="00C83BC1" w:rsidRDefault="00015306" w:rsidP="00015306">
      <w:pPr>
        <w:tabs>
          <w:tab w:val="num" w:pos="360"/>
        </w:tabs>
        <w:spacing w:after="120"/>
        <w:ind w:left="360"/>
        <w:rPr>
          <w:b/>
          <w:color w:val="000000"/>
        </w:rPr>
      </w:pPr>
      <w:r w:rsidRPr="00665266">
        <w:rPr>
          <w:b/>
          <w:color w:val="000000"/>
        </w:rPr>
        <w:t xml:space="preserve">A copy of the completed plan </w:t>
      </w:r>
      <w:r w:rsidR="003B1D2E" w:rsidRPr="003B1D2E">
        <w:rPr>
          <w:b/>
          <w:i/>
          <w:color w:val="000000"/>
          <w:u w:val="single"/>
        </w:rPr>
        <w:t>must</w:t>
      </w:r>
      <w:r w:rsidRPr="00665266">
        <w:rPr>
          <w:b/>
          <w:color w:val="000000"/>
        </w:rPr>
        <w:t xml:space="preserve"> be submitted electronically to HSEM in order to receive reimbursement.</w:t>
      </w:r>
      <w:r w:rsidR="002956CA" w:rsidRPr="00665266">
        <w:rPr>
          <w:b/>
          <w:color w:val="000000"/>
        </w:rPr>
        <w:t xml:space="preserve"> </w:t>
      </w:r>
    </w:p>
    <w:p w:rsidR="000D4F72" w:rsidRPr="00665266" w:rsidRDefault="00BF0F9A" w:rsidP="00015306">
      <w:pPr>
        <w:tabs>
          <w:tab w:val="num" w:pos="360"/>
        </w:tabs>
        <w:spacing w:after="120"/>
        <w:ind w:left="360"/>
        <w:rPr>
          <w:color w:val="000000"/>
        </w:rPr>
      </w:pPr>
      <w:r w:rsidRPr="00665266">
        <w:rPr>
          <w:color w:val="000000"/>
        </w:rPr>
        <w:t xml:space="preserve">Funding for </w:t>
      </w:r>
      <w:r w:rsidR="00CF387E" w:rsidRPr="00665266">
        <w:rPr>
          <w:color w:val="000000"/>
        </w:rPr>
        <w:t>a</w:t>
      </w:r>
      <w:r w:rsidR="000D4F72" w:rsidRPr="00665266">
        <w:rPr>
          <w:color w:val="000000"/>
        </w:rPr>
        <w:t>n</w:t>
      </w:r>
      <w:r w:rsidR="00CF387E" w:rsidRPr="00665266">
        <w:rPr>
          <w:color w:val="000000"/>
        </w:rPr>
        <w:t xml:space="preserve"> </w:t>
      </w:r>
      <w:r w:rsidRPr="00665266">
        <w:rPr>
          <w:color w:val="000000"/>
        </w:rPr>
        <w:t xml:space="preserve">LEOP is based on population </w:t>
      </w:r>
      <w:r w:rsidR="00C83BC1">
        <w:rPr>
          <w:color w:val="000000"/>
        </w:rPr>
        <w:t xml:space="preserve">(2010 census) </w:t>
      </w:r>
      <w:r w:rsidRPr="00665266">
        <w:rPr>
          <w:color w:val="000000"/>
        </w:rPr>
        <w:t>as outlined below</w:t>
      </w:r>
      <w:r w:rsidR="000D4F72" w:rsidRPr="00665266">
        <w:rPr>
          <w:color w:val="000000"/>
        </w:rPr>
        <w:t>:</w:t>
      </w: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3200"/>
      </w:tblGrid>
      <w:tr w:rsidR="00453F93" w:rsidRPr="00665266" w:rsidTr="00802D37">
        <w:trPr>
          <w:jc w:val="center"/>
        </w:trPr>
        <w:tc>
          <w:tcPr>
            <w:tcW w:w="5349" w:type="dxa"/>
            <w:gridSpan w:val="2"/>
            <w:shd w:val="clear" w:color="auto" w:fill="062741"/>
          </w:tcPr>
          <w:p w:rsidR="00453F93" w:rsidRPr="00923411" w:rsidRDefault="00BF0F9A" w:rsidP="00F75E27">
            <w:pPr>
              <w:jc w:val="center"/>
              <w:rPr>
                <w:rFonts w:eastAsia="Calibri"/>
                <w:b/>
              </w:rPr>
            </w:pPr>
            <w:r w:rsidRPr="00923411">
              <w:rPr>
                <w:color w:val="000000"/>
              </w:rPr>
              <w:t xml:space="preserve"> </w:t>
            </w:r>
            <w:r w:rsidR="00453F93" w:rsidRPr="00923411">
              <w:rPr>
                <w:rFonts w:eastAsia="Calibri"/>
                <w:b/>
              </w:rPr>
              <w:t>LEOP Funding Scale</w:t>
            </w:r>
          </w:p>
        </w:tc>
      </w:tr>
      <w:tr w:rsidR="003F4E25" w:rsidRPr="00665266" w:rsidTr="00802D37">
        <w:trPr>
          <w:jc w:val="center"/>
        </w:trPr>
        <w:tc>
          <w:tcPr>
            <w:tcW w:w="2149" w:type="dxa"/>
            <w:shd w:val="clear" w:color="auto" w:fill="736454"/>
          </w:tcPr>
          <w:p w:rsidR="003F4E25" w:rsidRPr="00923411" w:rsidRDefault="003F4E25" w:rsidP="00F75E27">
            <w:pPr>
              <w:jc w:val="center"/>
              <w:rPr>
                <w:rFonts w:eastAsia="Calibri"/>
                <w:color w:val="FFFFFF" w:themeColor="background1"/>
              </w:rPr>
            </w:pPr>
            <w:r w:rsidRPr="00923411">
              <w:rPr>
                <w:rFonts w:eastAsia="Calibri"/>
                <w:color w:val="FFFFFF" w:themeColor="background1"/>
              </w:rPr>
              <w:t>Population Range</w:t>
            </w:r>
          </w:p>
        </w:tc>
        <w:tc>
          <w:tcPr>
            <w:tcW w:w="3200" w:type="dxa"/>
            <w:shd w:val="clear" w:color="auto" w:fill="736454"/>
          </w:tcPr>
          <w:p w:rsidR="003F4E25" w:rsidRPr="00923411" w:rsidRDefault="003F4E25" w:rsidP="00802D37">
            <w:pPr>
              <w:jc w:val="center"/>
              <w:rPr>
                <w:rFonts w:eastAsia="Calibri"/>
                <w:color w:val="FFFFFF" w:themeColor="background1"/>
              </w:rPr>
            </w:pPr>
            <w:r w:rsidRPr="00923411">
              <w:rPr>
                <w:rFonts w:eastAsia="Calibri"/>
                <w:color w:val="FFFFFF" w:themeColor="background1"/>
              </w:rPr>
              <w:t>Total Funding</w:t>
            </w:r>
            <w:r w:rsidR="00802D37">
              <w:rPr>
                <w:rFonts w:eastAsia="Calibri"/>
                <w:color w:val="FFFFFF" w:themeColor="background1"/>
              </w:rPr>
              <w:t xml:space="preserve"> Not to Exceed</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1-1,000</w:t>
            </w:r>
          </w:p>
        </w:tc>
        <w:tc>
          <w:tcPr>
            <w:tcW w:w="3200" w:type="dxa"/>
            <w:shd w:val="clear" w:color="auto" w:fill="auto"/>
          </w:tcPr>
          <w:p w:rsidR="003F4E25" w:rsidRPr="00923411" w:rsidRDefault="003F4E25" w:rsidP="00F75E27">
            <w:pPr>
              <w:jc w:val="center"/>
              <w:rPr>
                <w:rFonts w:eastAsia="Calibri"/>
              </w:rPr>
            </w:pPr>
            <w:r w:rsidRPr="00923411">
              <w:rPr>
                <w:rFonts w:eastAsia="Calibri"/>
              </w:rPr>
              <w:t>$3,500.00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1,001-5,000</w:t>
            </w:r>
          </w:p>
        </w:tc>
        <w:tc>
          <w:tcPr>
            <w:tcW w:w="3200" w:type="dxa"/>
            <w:shd w:val="clear" w:color="auto" w:fill="auto"/>
          </w:tcPr>
          <w:p w:rsidR="003F4E25" w:rsidRPr="00923411" w:rsidRDefault="003F4E25" w:rsidP="00F75E27">
            <w:pPr>
              <w:jc w:val="center"/>
              <w:rPr>
                <w:rFonts w:eastAsia="Calibri"/>
              </w:rPr>
            </w:pPr>
            <w:r w:rsidRPr="00923411">
              <w:rPr>
                <w:rFonts w:eastAsia="Calibri"/>
              </w:rPr>
              <w:t>$4,000.00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5,001-10,000</w:t>
            </w:r>
          </w:p>
        </w:tc>
        <w:tc>
          <w:tcPr>
            <w:tcW w:w="3200" w:type="dxa"/>
            <w:shd w:val="clear" w:color="auto" w:fill="auto"/>
          </w:tcPr>
          <w:p w:rsidR="003F4E25" w:rsidRPr="00923411" w:rsidRDefault="003F4E25" w:rsidP="00F75E27">
            <w:pPr>
              <w:jc w:val="center"/>
              <w:rPr>
                <w:rFonts w:eastAsia="Calibri"/>
              </w:rPr>
            </w:pPr>
            <w:r w:rsidRPr="00923411">
              <w:rPr>
                <w:rFonts w:eastAsia="Calibri"/>
              </w:rPr>
              <w:t>$4,500.00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10,001-20,000</w:t>
            </w:r>
          </w:p>
        </w:tc>
        <w:tc>
          <w:tcPr>
            <w:tcW w:w="3200" w:type="dxa"/>
            <w:shd w:val="clear" w:color="auto" w:fill="auto"/>
          </w:tcPr>
          <w:p w:rsidR="003F4E25" w:rsidRPr="00923411" w:rsidRDefault="003F4E25" w:rsidP="00F75E27">
            <w:pPr>
              <w:jc w:val="center"/>
              <w:rPr>
                <w:rFonts w:eastAsia="Calibri"/>
              </w:rPr>
            </w:pPr>
            <w:r w:rsidRPr="00923411">
              <w:rPr>
                <w:rFonts w:eastAsia="Calibri"/>
              </w:rPr>
              <w:t>$5,000.00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20,001-30,000</w:t>
            </w:r>
          </w:p>
        </w:tc>
        <w:tc>
          <w:tcPr>
            <w:tcW w:w="3200" w:type="dxa"/>
            <w:shd w:val="clear" w:color="auto" w:fill="auto"/>
          </w:tcPr>
          <w:p w:rsidR="003F4E25" w:rsidRPr="00923411" w:rsidRDefault="003F4E25" w:rsidP="00F75E27">
            <w:pPr>
              <w:jc w:val="center"/>
              <w:rPr>
                <w:rFonts w:eastAsia="Calibri"/>
              </w:rPr>
            </w:pPr>
            <w:r w:rsidRPr="00923411">
              <w:rPr>
                <w:rFonts w:eastAsia="Calibri"/>
              </w:rPr>
              <w:t>$5,500.00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30,001 &amp; up</w:t>
            </w:r>
          </w:p>
        </w:tc>
        <w:tc>
          <w:tcPr>
            <w:tcW w:w="3200" w:type="dxa"/>
            <w:shd w:val="clear" w:color="auto" w:fill="auto"/>
          </w:tcPr>
          <w:p w:rsidR="003F4E25" w:rsidRPr="00923411" w:rsidRDefault="003F4E25" w:rsidP="00F75E27">
            <w:pPr>
              <w:jc w:val="center"/>
              <w:rPr>
                <w:rFonts w:eastAsia="Calibri"/>
              </w:rPr>
            </w:pPr>
            <w:r w:rsidRPr="00923411">
              <w:rPr>
                <w:rFonts w:eastAsia="Calibri"/>
              </w:rPr>
              <w:t>$6,000.00</w:t>
            </w:r>
          </w:p>
        </w:tc>
      </w:tr>
    </w:tbl>
    <w:p w:rsidR="00015306" w:rsidRPr="00665266" w:rsidRDefault="00015306" w:rsidP="004F5007">
      <w:pPr>
        <w:pStyle w:val="Heading3"/>
        <w:numPr>
          <w:ilvl w:val="0"/>
          <w:numId w:val="34"/>
        </w:numPr>
      </w:pPr>
      <w:bookmarkStart w:id="39" w:name="_Toc480368205"/>
      <w:r w:rsidRPr="00665266">
        <w:t xml:space="preserve">Continuity of </w:t>
      </w:r>
      <w:r w:rsidR="00A02029" w:rsidRPr="00665266">
        <w:t xml:space="preserve">Operations </w:t>
      </w:r>
      <w:r w:rsidR="00C51D3C">
        <w:t xml:space="preserve">Plan </w:t>
      </w:r>
      <w:r w:rsidR="00A02029" w:rsidRPr="00665266">
        <w:t>(</w:t>
      </w:r>
      <w:r w:rsidR="00C83BC1">
        <w:t>COOP)</w:t>
      </w:r>
      <w:bookmarkEnd w:id="39"/>
    </w:p>
    <w:p w:rsidR="00C83BC1" w:rsidRDefault="00BF0F9A" w:rsidP="00C83BC1">
      <w:pPr>
        <w:ind w:left="360"/>
      </w:pPr>
      <w:r w:rsidRPr="00665266">
        <w:t xml:space="preserve">The EMPG Program will fund the development/enhancement of a community COOP Plan using the COOP template and HSEM crosswalk, ensuring </w:t>
      </w:r>
      <w:r w:rsidR="000D4F72" w:rsidRPr="00665266">
        <w:t>all of the essential</w:t>
      </w:r>
      <w:r w:rsidRPr="00665266">
        <w:t xml:space="preserve"> elements are included in the plan. The template and crosswalk can be found at</w:t>
      </w:r>
      <w:r w:rsidR="000D4F72" w:rsidRPr="00665266">
        <w:t>:</w:t>
      </w:r>
    </w:p>
    <w:p w:rsidR="00BF0F9A" w:rsidRPr="00665266" w:rsidRDefault="00DD0E47" w:rsidP="00BF0F9A">
      <w:pPr>
        <w:spacing w:after="120"/>
        <w:ind w:left="360"/>
      </w:pPr>
      <w:hyperlink r:id="rId44" w:history="1">
        <w:r w:rsidR="004B3AD8" w:rsidRPr="00665266">
          <w:rPr>
            <w:rStyle w:val="Hyperlink"/>
          </w:rPr>
          <w:t>https://apps.nh.gov/blogs/hsem/?page_id=2783</w:t>
        </w:r>
      </w:hyperlink>
      <w:r w:rsidR="004B3AD8" w:rsidRPr="00665266">
        <w:t xml:space="preserve">. </w:t>
      </w:r>
    </w:p>
    <w:p w:rsidR="00015306" w:rsidRPr="00665266" w:rsidRDefault="00BF0F9A" w:rsidP="00015306">
      <w:pPr>
        <w:ind w:left="360"/>
        <w:rPr>
          <w:color w:val="000000"/>
        </w:rPr>
      </w:pPr>
      <w:r w:rsidRPr="00665266">
        <w:lastRenderedPageBreak/>
        <w:t>The community COOP p</w:t>
      </w:r>
      <w:r w:rsidR="003F4E25" w:rsidRPr="00665266">
        <w:t>lan</w:t>
      </w:r>
      <w:r w:rsidRPr="00665266">
        <w:t xml:space="preserve"> </w:t>
      </w:r>
      <w:r w:rsidRPr="00D809F3">
        <w:rPr>
          <w:b/>
          <w:i/>
          <w:u w:val="single"/>
        </w:rPr>
        <w:t>must</w:t>
      </w:r>
      <w:r w:rsidRPr="00665266">
        <w:t xml:space="preserve"> be</w:t>
      </w:r>
      <w:r w:rsidR="003F4E25" w:rsidRPr="00665266">
        <w:rPr>
          <w:color w:val="000000"/>
        </w:rPr>
        <w:t xml:space="preserve"> consistent with the Continuity Guidance Circular 1 and 2 (CGC</w:t>
      </w:r>
      <w:r w:rsidR="000D4F72" w:rsidRPr="00665266">
        <w:rPr>
          <w:color w:val="000000"/>
        </w:rPr>
        <w:t xml:space="preserve"> 1 </w:t>
      </w:r>
      <w:r w:rsidR="00C83BC1">
        <w:rPr>
          <w:color w:val="000000"/>
        </w:rPr>
        <w:t>and</w:t>
      </w:r>
      <w:r w:rsidR="000D4F72" w:rsidRPr="00665266">
        <w:rPr>
          <w:color w:val="000000"/>
        </w:rPr>
        <w:t xml:space="preserve"> 2</w:t>
      </w:r>
      <w:r w:rsidR="003F4E25" w:rsidRPr="00665266">
        <w:rPr>
          <w:color w:val="000000"/>
        </w:rPr>
        <w:t xml:space="preserve">), </w:t>
      </w:r>
      <w:r w:rsidR="00C83BC1">
        <w:rPr>
          <w:color w:val="000000"/>
        </w:rPr>
        <w:t xml:space="preserve">dated </w:t>
      </w:r>
      <w:r w:rsidR="003F4E25" w:rsidRPr="00665266">
        <w:rPr>
          <w:color w:val="000000"/>
        </w:rPr>
        <w:t>2013</w:t>
      </w:r>
      <w:r w:rsidR="00015306" w:rsidRPr="00665266">
        <w:rPr>
          <w:color w:val="000000"/>
        </w:rPr>
        <w:t>. This provides planning guidance and methodology to assist non-Federal government organizations in identifying and ensuring continued performance of their mission essential functions</w:t>
      </w:r>
      <w:r w:rsidRPr="00665266">
        <w:rPr>
          <w:color w:val="000000"/>
        </w:rPr>
        <w:t xml:space="preserve"> and</w:t>
      </w:r>
      <w:r w:rsidR="003F4E25" w:rsidRPr="00665266">
        <w:rPr>
          <w:color w:val="000000"/>
        </w:rPr>
        <w:t xml:space="preserve"> can be found at: </w:t>
      </w:r>
    </w:p>
    <w:p w:rsidR="00C83BC1" w:rsidRDefault="00DD0E47" w:rsidP="00C83BC1">
      <w:pPr>
        <w:spacing w:after="120"/>
        <w:ind w:firstLine="360"/>
      </w:pPr>
      <w:hyperlink r:id="rId45" w:history="1">
        <w:r w:rsidR="00C83BC1" w:rsidRPr="00371629">
          <w:rPr>
            <w:rStyle w:val="Hyperlink"/>
          </w:rPr>
          <w:t>C</w:t>
        </w:r>
        <w:r w:rsidR="00C83BC1">
          <w:rPr>
            <w:rStyle w:val="Hyperlink"/>
          </w:rPr>
          <w:t>ontinuity Guidance Circular</w:t>
        </w:r>
        <w:r w:rsidR="00C83BC1" w:rsidRPr="00371629">
          <w:rPr>
            <w:rStyle w:val="Hyperlink"/>
          </w:rPr>
          <w:t xml:space="preserve"> 1</w:t>
        </w:r>
      </w:hyperlink>
    </w:p>
    <w:p w:rsidR="000943B6" w:rsidRPr="00665266" w:rsidRDefault="00DD0E47" w:rsidP="005D5740">
      <w:pPr>
        <w:tabs>
          <w:tab w:val="num" w:pos="360"/>
        </w:tabs>
        <w:spacing w:after="120"/>
        <w:ind w:left="360"/>
        <w:rPr>
          <w:b/>
          <w:color w:val="000000"/>
        </w:rPr>
      </w:pPr>
      <w:hyperlink r:id="rId46" w:history="1">
        <w:r w:rsidR="00C83BC1">
          <w:rPr>
            <w:rStyle w:val="Hyperlink"/>
          </w:rPr>
          <w:t>Continuity Guidance Circular 2</w:t>
        </w:r>
      </w:hyperlink>
      <w:r w:rsidR="00C83BC1">
        <w:rPr>
          <w:color w:val="000000"/>
        </w:rPr>
        <w:t xml:space="preserve"> </w:t>
      </w:r>
      <w:r w:rsidR="00C83BC1" w:rsidRPr="00371629" w:rsidDel="00371629">
        <w:rPr>
          <w:color w:val="000000"/>
        </w:rPr>
        <w:t xml:space="preserve"> </w:t>
      </w:r>
    </w:p>
    <w:p w:rsidR="005D5740" w:rsidRDefault="003F4E25" w:rsidP="00BF0F9A">
      <w:pPr>
        <w:tabs>
          <w:tab w:val="num" w:pos="360"/>
        </w:tabs>
        <w:spacing w:after="120"/>
        <w:ind w:left="360"/>
        <w:rPr>
          <w:b/>
          <w:color w:val="000000"/>
        </w:rPr>
      </w:pPr>
      <w:r w:rsidRPr="00665266">
        <w:rPr>
          <w:b/>
          <w:color w:val="000000"/>
        </w:rPr>
        <w:t xml:space="preserve">A copy of the completed plan </w:t>
      </w:r>
      <w:r w:rsidR="00D809F3" w:rsidRPr="00D809F3">
        <w:rPr>
          <w:b/>
          <w:i/>
          <w:color w:val="000000"/>
          <w:u w:val="single"/>
        </w:rPr>
        <w:t>must</w:t>
      </w:r>
      <w:r w:rsidRPr="00665266">
        <w:rPr>
          <w:b/>
          <w:color w:val="000000"/>
        </w:rPr>
        <w:t xml:space="preserve"> be subm</w:t>
      </w:r>
      <w:r w:rsidR="00015306" w:rsidRPr="00665266">
        <w:rPr>
          <w:b/>
          <w:color w:val="000000"/>
        </w:rPr>
        <w:t>itted electronically to HSEM in order to receive</w:t>
      </w:r>
      <w:r w:rsidRPr="00665266">
        <w:rPr>
          <w:b/>
          <w:color w:val="000000"/>
        </w:rPr>
        <w:t xml:space="preserve"> reimbursement.</w:t>
      </w:r>
    </w:p>
    <w:p w:rsidR="00BF0F9A" w:rsidRPr="00665266" w:rsidRDefault="00BF0F9A" w:rsidP="00BF0F9A">
      <w:pPr>
        <w:tabs>
          <w:tab w:val="num" w:pos="360"/>
        </w:tabs>
        <w:spacing w:after="120"/>
        <w:ind w:left="360"/>
      </w:pPr>
      <w:r w:rsidRPr="00665266">
        <w:rPr>
          <w:color w:val="000000"/>
        </w:rPr>
        <w:t>Funding for</w:t>
      </w:r>
      <w:r w:rsidR="00CF387E" w:rsidRPr="00665266">
        <w:rPr>
          <w:color w:val="000000"/>
        </w:rPr>
        <w:t xml:space="preserve"> </w:t>
      </w:r>
      <w:r w:rsidRPr="00665266">
        <w:rPr>
          <w:color w:val="000000"/>
        </w:rPr>
        <w:t>COOP plan</w:t>
      </w:r>
      <w:r w:rsidR="00CF387E" w:rsidRPr="00665266">
        <w:rPr>
          <w:color w:val="000000"/>
        </w:rPr>
        <w:t xml:space="preserve"> </w:t>
      </w:r>
      <w:r w:rsidR="005D5740">
        <w:rPr>
          <w:color w:val="000000"/>
        </w:rPr>
        <w:t xml:space="preserve">development </w:t>
      </w:r>
      <w:r w:rsidR="00CF387E" w:rsidRPr="00665266">
        <w:rPr>
          <w:color w:val="000000"/>
        </w:rPr>
        <w:t>is</w:t>
      </w:r>
      <w:r w:rsidRPr="00665266">
        <w:rPr>
          <w:color w:val="000000"/>
        </w:rPr>
        <w:t xml:space="preserve"> based on population</w:t>
      </w:r>
      <w:r w:rsidR="004F542E" w:rsidRPr="00665266">
        <w:rPr>
          <w:color w:val="000000"/>
        </w:rPr>
        <w:t xml:space="preserve"> (</w:t>
      </w:r>
      <w:r w:rsidR="004F542E" w:rsidRPr="005D5740">
        <w:rPr>
          <w:color w:val="000000"/>
        </w:rPr>
        <w:t>2010 Census)</w:t>
      </w:r>
      <w:r w:rsidRPr="00665266">
        <w:rPr>
          <w:color w:val="000000"/>
        </w:rPr>
        <w:t xml:space="preserve"> as outlined </w:t>
      </w:r>
      <w:r w:rsidR="005D5740">
        <w:rPr>
          <w:color w:val="000000"/>
        </w:rPr>
        <w:t>below</w:t>
      </w:r>
      <w:r w:rsidR="000943B6" w:rsidRPr="00665266">
        <w:rPr>
          <w:color w:val="000000"/>
        </w:rPr>
        <w:t>:</w:t>
      </w:r>
      <w:r w:rsidRPr="00665266">
        <w:rPr>
          <w:color w:val="000000"/>
        </w:rPr>
        <w:t xml:space="preserve"> </w:t>
      </w: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3359"/>
      </w:tblGrid>
      <w:tr w:rsidR="00F75E27" w:rsidRPr="00665266" w:rsidTr="00802D37">
        <w:tc>
          <w:tcPr>
            <w:tcW w:w="5508" w:type="dxa"/>
            <w:gridSpan w:val="2"/>
            <w:shd w:val="clear" w:color="auto" w:fill="062741"/>
          </w:tcPr>
          <w:p w:rsidR="00F75E27" w:rsidRPr="00923411" w:rsidRDefault="00F75E27" w:rsidP="00F75E27">
            <w:pPr>
              <w:jc w:val="center"/>
              <w:rPr>
                <w:rFonts w:eastAsia="Calibri"/>
                <w:b/>
              </w:rPr>
            </w:pPr>
            <w:r w:rsidRPr="00923411">
              <w:rPr>
                <w:rFonts w:eastAsia="Calibri"/>
                <w:b/>
              </w:rPr>
              <w:t>COOP Funding Scale</w:t>
            </w:r>
          </w:p>
        </w:tc>
      </w:tr>
      <w:tr w:rsidR="00F75E27" w:rsidRPr="00665266" w:rsidTr="00802D37">
        <w:tc>
          <w:tcPr>
            <w:tcW w:w="2149" w:type="dxa"/>
            <w:shd w:val="clear" w:color="auto" w:fill="736454"/>
          </w:tcPr>
          <w:p w:rsidR="00F75E27" w:rsidRPr="00923411" w:rsidRDefault="00F75E27" w:rsidP="00F75E27">
            <w:pPr>
              <w:rPr>
                <w:rFonts w:eastAsia="Calibri"/>
                <w:color w:val="FFFFFF" w:themeColor="background1"/>
              </w:rPr>
            </w:pPr>
            <w:r w:rsidRPr="00923411">
              <w:rPr>
                <w:rFonts w:eastAsia="Calibri"/>
                <w:color w:val="FFFFFF" w:themeColor="background1"/>
              </w:rPr>
              <w:t>Population Ranges</w:t>
            </w:r>
          </w:p>
        </w:tc>
        <w:tc>
          <w:tcPr>
            <w:tcW w:w="3359" w:type="dxa"/>
            <w:shd w:val="clear" w:color="auto" w:fill="736454"/>
          </w:tcPr>
          <w:p w:rsidR="00802D37" w:rsidRPr="00923411" w:rsidRDefault="00802D37" w:rsidP="00802D37">
            <w:pPr>
              <w:jc w:val="center"/>
              <w:rPr>
                <w:rFonts w:eastAsia="Calibri"/>
                <w:color w:val="FFFFFF" w:themeColor="background1"/>
              </w:rPr>
            </w:pPr>
            <w:r>
              <w:rPr>
                <w:rFonts w:eastAsia="Calibri"/>
                <w:color w:val="FFFFFF" w:themeColor="background1"/>
              </w:rPr>
              <w:t>Total Funding Not to Exceed</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1-1,000</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4</w:t>
            </w:r>
            <w:r w:rsidRPr="00923411">
              <w:rPr>
                <w:rFonts w:eastAsia="Calibri"/>
              </w:rPr>
              <w:t>,000.00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1,001-5,000</w:t>
            </w:r>
          </w:p>
        </w:tc>
        <w:tc>
          <w:tcPr>
            <w:tcW w:w="3359" w:type="dxa"/>
            <w:shd w:val="clear" w:color="auto" w:fill="auto"/>
          </w:tcPr>
          <w:p w:rsidR="00F75E27" w:rsidRPr="00923411" w:rsidRDefault="00173A1B" w:rsidP="00F75E27">
            <w:pPr>
              <w:jc w:val="center"/>
              <w:rPr>
                <w:rFonts w:eastAsia="Calibri"/>
              </w:rPr>
            </w:pPr>
            <w:r w:rsidRPr="00923411">
              <w:rPr>
                <w:rFonts w:eastAsia="Calibri"/>
              </w:rPr>
              <w:t>$4</w:t>
            </w:r>
            <w:r w:rsidR="00F75E27" w:rsidRPr="00923411">
              <w:rPr>
                <w:rFonts w:eastAsia="Calibri"/>
              </w:rPr>
              <w:t>,500.00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5,001-10,000</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5</w:t>
            </w:r>
            <w:r w:rsidRPr="00923411">
              <w:rPr>
                <w:rFonts w:eastAsia="Calibri"/>
              </w:rPr>
              <w:t>,000.00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10,001-20,000</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5</w:t>
            </w:r>
            <w:r w:rsidRPr="00923411">
              <w:rPr>
                <w:rFonts w:eastAsia="Calibri"/>
              </w:rPr>
              <w:t>,500.00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20,001-30,000</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6</w:t>
            </w:r>
            <w:r w:rsidRPr="00923411">
              <w:rPr>
                <w:rFonts w:eastAsia="Calibri"/>
              </w:rPr>
              <w:t>,000.00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30,001-50,00</w:t>
            </w:r>
            <w:r w:rsidR="00173A1B" w:rsidRPr="00923411">
              <w:rPr>
                <w:rFonts w:eastAsia="Calibri"/>
              </w:rPr>
              <w:t>0</w:t>
            </w:r>
          </w:p>
        </w:tc>
        <w:tc>
          <w:tcPr>
            <w:tcW w:w="3359" w:type="dxa"/>
            <w:shd w:val="clear" w:color="auto" w:fill="auto"/>
          </w:tcPr>
          <w:p w:rsidR="00F75E27" w:rsidRPr="00923411" w:rsidRDefault="00173A1B" w:rsidP="00173A1B">
            <w:pPr>
              <w:jc w:val="center"/>
              <w:rPr>
                <w:rFonts w:eastAsia="Calibri"/>
              </w:rPr>
            </w:pPr>
            <w:r w:rsidRPr="00923411">
              <w:rPr>
                <w:rFonts w:eastAsia="Calibri"/>
              </w:rPr>
              <w:t>$6</w:t>
            </w:r>
            <w:r w:rsidR="00F75E27" w:rsidRPr="00923411">
              <w:rPr>
                <w:rFonts w:eastAsia="Calibri"/>
              </w:rPr>
              <w:t>,</w:t>
            </w:r>
            <w:r w:rsidRPr="00923411">
              <w:rPr>
                <w:rFonts w:eastAsia="Calibri"/>
              </w:rPr>
              <w:t>5</w:t>
            </w:r>
            <w:r w:rsidR="00F75E27" w:rsidRPr="00923411">
              <w:rPr>
                <w:rFonts w:eastAsia="Calibri"/>
              </w:rPr>
              <w:t>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50,001 &amp; up</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8</w:t>
            </w:r>
            <w:r w:rsidRPr="00923411">
              <w:rPr>
                <w:rFonts w:eastAsia="Calibri"/>
              </w:rPr>
              <w:t>,000.00</w:t>
            </w:r>
          </w:p>
        </w:tc>
      </w:tr>
    </w:tbl>
    <w:p w:rsidR="003F4E25" w:rsidRPr="00665266" w:rsidRDefault="003F4E25" w:rsidP="00F75E27">
      <w:pPr>
        <w:spacing w:after="120"/>
        <w:rPr>
          <w:b/>
          <w:u w:val="single"/>
        </w:rPr>
      </w:pPr>
    </w:p>
    <w:p w:rsidR="003F4E25" w:rsidRPr="00665266" w:rsidRDefault="003F4E25" w:rsidP="00F75E27">
      <w:pPr>
        <w:spacing w:after="120"/>
        <w:ind w:left="1440"/>
      </w:pPr>
    </w:p>
    <w:p w:rsidR="003F4E25" w:rsidRPr="00665266" w:rsidRDefault="003F4E25" w:rsidP="00F75E27">
      <w:pPr>
        <w:tabs>
          <w:tab w:val="num" w:pos="360"/>
        </w:tabs>
        <w:spacing w:after="120"/>
        <w:ind w:left="1440" w:hanging="1440"/>
      </w:pPr>
    </w:p>
    <w:p w:rsidR="00F75E27" w:rsidRPr="00665266" w:rsidRDefault="00F75E27" w:rsidP="00F75E27">
      <w:pPr>
        <w:tabs>
          <w:tab w:val="num" w:pos="360"/>
        </w:tabs>
        <w:spacing w:after="120"/>
        <w:ind w:left="1440" w:hanging="1440"/>
      </w:pPr>
    </w:p>
    <w:p w:rsidR="00F75E27" w:rsidRPr="00665266" w:rsidRDefault="00F75E27" w:rsidP="00F75E27">
      <w:pPr>
        <w:tabs>
          <w:tab w:val="num" w:pos="360"/>
        </w:tabs>
        <w:spacing w:after="120"/>
        <w:ind w:left="1440" w:hanging="1440"/>
      </w:pPr>
    </w:p>
    <w:p w:rsidR="00F75E27" w:rsidRPr="00665266" w:rsidRDefault="00F75E27" w:rsidP="00F75E27">
      <w:pPr>
        <w:tabs>
          <w:tab w:val="num" w:pos="360"/>
        </w:tabs>
        <w:spacing w:after="120"/>
        <w:ind w:left="1440" w:hanging="1440"/>
      </w:pPr>
    </w:p>
    <w:p w:rsidR="00F75E27" w:rsidRPr="00665266" w:rsidRDefault="00F75E27" w:rsidP="00F75E27">
      <w:pPr>
        <w:tabs>
          <w:tab w:val="num" w:pos="360"/>
        </w:tabs>
        <w:spacing w:after="120"/>
        <w:ind w:left="1440" w:hanging="1440"/>
      </w:pPr>
    </w:p>
    <w:p w:rsidR="00F7220E" w:rsidRDefault="00F7220E" w:rsidP="00F75E27">
      <w:pPr>
        <w:spacing w:after="120"/>
      </w:pPr>
    </w:p>
    <w:p w:rsidR="00F7220E" w:rsidRPr="00665266" w:rsidRDefault="003F4E25" w:rsidP="00F7220E">
      <w:pPr>
        <w:spacing w:after="120"/>
        <w:ind w:left="-360"/>
      </w:pPr>
      <w:r w:rsidRPr="00665266">
        <w:t xml:space="preserve">Other </w:t>
      </w:r>
      <w:r w:rsidRPr="00665266">
        <w:rPr>
          <w:i/>
        </w:rPr>
        <w:t>Planning Activities</w:t>
      </w:r>
      <w:r w:rsidRPr="00665266">
        <w:t xml:space="preserve"> may include, but are not limited to, the following:</w:t>
      </w:r>
    </w:p>
    <w:p w:rsidR="00CF387E" w:rsidRPr="00665266" w:rsidRDefault="00CF387E" w:rsidP="00BF0F9A">
      <w:pPr>
        <w:pStyle w:val="Default"/>
        <w:numPr>
          <w:ilvl w:val="0"/>
          <w:numId w:val="24"/>
        </w:numPr>
        <w:spacing w:after="80"/>
        <w:ind w:left="720"/>
        <w:jc w:val="both"/>
        <w:rPr>
          <w:rFonts w:asciiTheme="minorHAnsi" w:hAnsiTheme="minorHAnsi" w:cs="Times New Roman"/>
        </w:rPr>
        <w:sectPr w:rsidR="00CF387E" w:rsidRPr="00665266" w:rsidSect="00EC683E">
          <w:footerReference w:type="default" r:id="rId47"/>
          <w:pgSz w:w="12240" w:h="15840" w:code="1"/>
          <w:pgMar w:top="1440" w:right="1440" w:bottom="1440" w:left="1440" w:header="720" w:footer="720" w:gutter="0"/>
          <w:pgNumType w:start="1"/>
          <w:cols w:space="720"/>
          <w:docGrid w:linePitch="360"/>
        </w:sectPr>
      </w:pPr>
    </w:p>
    <w:p w:rsidR="004B3AD8" w:rsidRPr="00665266" w:rsidRDefault="004B3AD8" w:rsidP="004B3AD8">
      <w:pPr>
        <w:pStyle w:val="Default"/>
        <w:numPr>
          <w:ilvl w:val="0"/>
          <w:numId w:val="24"/>
        </w:numPr>
        <w:ind w:left="270" w:hanging="270"/>
        <w:rPr>
          <w:rFonts w:asciiTheme="minorHAnsi" w:hAnsiTheme="minorHAnsi" w:cs="Times New Roman"/>
          <w:szCs w:val="22"/>
        </w:rPr>
      </w:pPr>
      <w:r w:rsidRPr="00665266">
        <w:rPr>
          <w:rFonts w:asciiTheme="minorHAnsi" w:hAnsiTheme="minorHAnsi" w:cs="Times New Roman"/>
          <w:szCs w:val="22"/>
        </w:rPr>
        <w:lastRenderedPageBreak/>
        <w:t>Development of Support Annexes to the LEOP</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Warning</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Population Protection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Financial Management</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Mutual Aid/Multi-Jurisdiction Coordination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Private Sector Coordination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Prevention and Protection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Recovery</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Commodities</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Sheltering</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 xml:space="preserve">Dam </w:t>
      </w:r>
      <w:r w:rsidR="000943B6" w:rsidRPr="00665266">
        <w:rPr>
          <w:rFonts w:asciiTheme="minorHAnsi" w:hAnsiTheme="minorHAnsi" w:cs="Times New Roman"/>
          <w:szCs w:val="22"/>
        </w:rPr>
        <w:t>Emergency Action Plan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Debris Management</w:t>
      </w:r>
    </w:p>
    <w:p w:rsidR="000943B6" w:rsidRPr="00665266" w:rsidRDefault="000943B6" w:rsidP="000943B6">
      <w:pPr>
        <w:pStyle w:val="Default"/>
        <w:ind w:left="810"/>
        <w:rPr>
          <w:rFonts w:asciiTheme="minorHAnsi" w:hAnsiTheme="minorHAnsi" w:cs="Times New Roman"/>
          <w:szCs w:val="22"/>
        </w:rPr>
      </w:pPr>
    </w:p>
    <w:p w:rsidR="004B3AD8" w:rsidRPr="00665266" w:rsidRDefault="004B3AD8" w:rsidP="000943B6">
      <w:pPr>
        <w:pStyle w:val="Default"/>
        <w:numPr>
          <w:ilvl w:val="0"/>
          <w:numId w:val="24"/>
        </w:numPr>
        <w:ind w:left="270" w:hanging="270"/>
        <w:jc w:val="both"/>
        <w:rPr>
          <w:rFonts w:asciiTheme="minorHAnsi" w:hAnsiTheme="minorHAnsi" w:cs="Times New Roman"/>
          <w:szCs w:val="22"/>
        </w:rPr>
      </w:pPr>
      <w:r w:rsidRPr="00665266">
        <w:rPr>
          <w:rFonts w:asciiTheme="minorHAnsi" w:hAnsiTheme="minorHAnsi" w:cs="Times New Roman"/>
          <w:szCs w:val="22"/>
        </w:rPr>
        <w:lastRenderedPageBreak/>
        <w:t>Hazard, Threat, or Incident Specific Annexes to the LEOP</w:t>
      </w:r>
    </w:p>
    <w:p w:rsidR="004B3AD8" w:rsidRPr="00665266" w:rsidRDefault="004B3AD8" w:rsidP="000943B6">
      <w:pPr>
        <w:pStyle w:val="Default"/>
        <w:numPr>
          <w:ilvl w:val="1"/>
          <w:numId w:val="24"/>
        </w:numPr>
        <w:ind w:left="810" w:hanging="270"/>
        <w:jc w:val="both"/>
        <w:rPr>
          <w:rFonts w:asciiTheme="minorHAnsi" w:hAnsiTheme="minorHAnsi" w:cs="Times New Roman"/>
          <w:szCs w:val="22"/>
        </w:rPr>
      </w:pPr>
      <w:r w:rsidRPr="00665266">
        <w:rPr>
          <w:rFonts w:asciiTheme="minorHAnsi" w:hAnsiTheme="minorHAnsi" w:cs="Times New Roman"/>
          <w:szCs w:val="22"/>
        </w:rPr>
        <w:t>Natural Hazards Based</w:t>
      </w:r>
    </w:p>
    <w:p w:rsidR="000943B6" w:rsidRPr="00665266" w:rsidRDefault="000943B6" w:rsidP="000943B6">
      <w:pPr>
        <w:pStyle w:val="Default"/>
        <w:numPr>
          <w:ilvl w:val="1"/>
          <w:numId w:val="24"/>
        </w:numPr>
        <w:ind w:left="810" w:hanging="270"/>
        <w:jc w:val="both"/>
        <w:rPr>
          <w:rFonts w:asciiTheme="minorHAnsi" w:hAnsiTheme="minorHAnsi" w:cs="Times New Roman"/>
          <w:szCs w:val="22"/>
        </w:rPr>
      </w:pPr>
      <w:r w:rsidRPr="00665266">
        <w:rPr>
          <w:rFonts w:asciiTheme="minorHAnsi" w:hAnsiTheme="minorHAnsi" w:cs="Times New Roman"/>
          <w:szCs w:val="22"/>
        </w:rPr>
        <w:t>Technological Hazards Based</w:t>
      </w:r>
    </w:p>
    <w:p w:rsidR="004B3AD8" w:rsidRPr="00665266" w:rsidRDefault="004B3AD8" w:rsidP="000943B6">
      <w:pPr>
        <w:pStyle w:val="Default"/>
        <w:numPr>
          <w:ilvl w:val="1"/>
          <w:numId w:val="24"/>
        </w:numPr>
        <w:ind w:left="810" w:hanging="270"/>
        <w:jc w:val="both"/>
        <w:rPr>
          <w:rFonts w:asciiTheme="minorHAnsi" w:hAnsiTheme="minorHAnsi" w:cs="Times New Roman"/>
          <w:szCs w:val="22"/>
        </w:rPr>
      </w:pPr>
      <w:r w:rsidRPr="00665266">
        <w:rPr>
          <w:rFonts w:asciiTheme="minorHAnsi" w:hAnsiTheme="minorHAnsi" w:cs="Times New Roman"/>
          <w:szCs w:val="22"/>
        </w:rPr>
        <w:t>Human-Caused/Terrorism Based</w:t>
      </w:r>
    </w:p>
    <w:p w:rsidR="004B3AD8" w:rsidRPr="00665266" w:rsidRDefault="000943B6" w:rsidP="000943B6">
      <w:pPr>
        <w:pStyle w:val="Default"/>
        <w:numPr>
          <w:ilvl w:val="0"/>
          <w:numId w:val="24"/>
        </w:numPr>
        <w:ind w:left="270" w:hanging="270"/>
        <w:jc w:val="both"/>
        <w:rPr>
          <w:rFonts w:asciiTheme="minorHAnsi" w:hAnsiTheme="minorHAnsi" w:cs="Times New Roman"/>
          <w:szCs w:val="22"/>
        </w:rPr>
      </w:pPr>
      <w:r w:rsidRPr="00665266">
        <w:rPr>
          <w:rFonts w:asciiTheme="minorHAnsi" w:hAnsiTheme="minorHAnsi" w:cs="Times New Roman"/>
          <w:szCs w:val="22"/>
        </w:rPr>
        <w:t>Other p</w:t>
      </w:r>
      <w:r w:rsidR="004B3AD8" w:rsidRPr="00665266">
        <w:rPr>
          <w:rFonts w:asciiTheme="minorHAnsi" w:hAnsiTheme="minorHAnsi" w:cs="Times New Roman"/>
          <w:szCs w:val="22"/>
        </w:rPr>
        <w:t>lanning</w:t>
      </w:r>
      <w:r w:rsidRPr="00665266">
        <w:rPr>
          <w:rFonts w:asciiTheme="minorHAnsi" w:hAnsiTheme="minorHAnsi" w:cs="Times New Roman"/>
          <w:szCs w:val="22"/>
        </w:rPr>
        <w:t>-related a</w:t>
      </w:r>
      <w:r w:rsidR="004B3AD8" w:rsidRPr="00665266">
        <w:rPr>
          <w:rFonts w:asciiTheme="minorHAnsi" w:hAnsiTheme="minorHAnsi" w:cs="Times New Roman"/>
          <w:szCs w:val="22"/>
        </w:rPr>
        <w:t>ctivities will be considered for eligibility if the</w:t>
      </w:r>
      <w:r w:rsidR="00DD7144" w:rsidRPr="00665266">
        <w:rPr>
          <w:rFonts w:asciiTheme="minorHAnsi" w:hAnsiTheme="minorHAnsi" w:cs="Times New Roman"/>
          <w:szCs w:val="22"/>
        </w:rPr>
        <w:t>y</w:t>
      </w:r>
      <w:r w:rsidR="004B3AD8" w:rsidRPr="00665266">
        <w:rPr>
          <w:rFonts w:asciiTheme="minorHAnsi" w:hAnsiTheme="minorHAnsi" w:cs="Times New Roman"/>
          <w:szCs w:val="22"/>
        </w:rPr>
        <w:t xml:space="preserve"> fit into homeland security or emergency management focused whole-community all-hazard planning.</w:t>
      </w:r>
    </w:p>
    <w:p w:rsidR="00CF387E" w:rsidRPr="00665266" w:rsidRDefault="000943B6" w:rsidP="004B3AD8">
      <w:pPr>
        <w:pStyle w:val="Default"/>
        <w:numPr>
          <w:ilvl w:val="0"/>
          <w:numId w:val="24"/>
        </w:numPr>
        <w:spacing w:after="80"/>
        <w:ind w:left="270" w:hanging="270"/>
        <w:jc w:val="both"/>
        <w:rPr>
          <w:rFonts w:asciiTheme="minorHAnsi" w:hAnsiTheme="minorHAnsi" w:cs="Times New Roman"/>
        </w:rPr>
      </w:pPr>
      <w:r w:rsidRPr="00665266">
        <w:rPr>
          <w:rFonts w:asciiTheme="minorHAnsi" w:hAnsiTheme="minorHAnsi" w:cs="Times New Roman"/>
          <w:szCs w:val="22"/>
        </w:rPr>
        <w:t>Develop or u</w:t>
      </w:r>
      <w:r w:rsidR="004B3AD8" w:rsidRPr="00665266">
        <w:rPr>
          <w:rFonts w:asciiTheme="minorHAnsi" w:hAnsiTheme="minorHAnsi" w:cs="Times New Roman"/>
          <w:szCs w:val="22"/>
        </w:rPr>
        <w:t xml:space="preserve">pdate a FEMA approved Multi-Hazard Mitigation plan – </w:t>
      </w:r>
      <w:r w:rsidRPr="00F7220E">
        <w:rPr>
          <w:rFonts w:asciiTheme="minorHAnsi" w:hAnsiTheme="minorHAnsi" w:cs="Times New Roman"/>
          <w:szCs w:val="22"/>
          <w:u w:val="single"/>
        </w:rPr>
        <w:t>only</w:t>
      </w:r>
      <w:r w:rsidRPr="00665266">
        <w:rPr>
          <w:rFonts w:asciiTheme="minorHAnsi" w:hAnsiTheme="minorHAnsi" w:cs="Times New Roman"/>
          <w:szCs w:val="22"/>
        </w:rPr>
        <w:t xml:space="preserve"> </w:t>
      </w:r>
      <w:r w:rsidR="004B3AD8" w:rsidRPr="00665266">
        <w:rPr>
          <w:rFonts w:asciiTheme="minorHAnsi" w:hAnsiTheme="minorHAnsi" w:cs="Times New Roman"/>
          <w:szCs w:val="22"/>
        </w:rPr>
        <w:t xml:space="preserve">if unable to obtain funding through Hazard Mitigation Assistance </w:t>
      </w:r>
      <w:r w:rsidRPr="00665266">
        <w:rPr>
          <w:rFonts w:asciiTheme="minorHAnsi" w:hAnsiTheme="minorHAnsi" w:cs="Times New Roman"/>
          <w:szCs w:val="22"/>
        </w:rPr>
        <w:t xml:space="preserve">(HMA) </w:t>
      </w:r>
      <w:r w:rsidR="004B3AD8" w:rsidRPr="00665266">
        <w:rPr>
          <w:rFonts w:asciiTheme="minorHAnsi" w:hAnsiTheme="minorHAnsi" w:cs="Times New Roman"/>
          <w:szCs w:val="22"/>
        </w:rPr>
        <w:t xml:space="preserve">Grants. </w:t>
      </w:r>
    </w:p>
    <w:p w:rsidR="00111EE7" w:rsidRPr="00665266" w:rsidRDefault="00111EE7">
      <w:pPr>
        <w:spacing w:after="200" w:line="276" w:lineRule="auto"/>
        <w:rPr>
          <w:color w:val="000000"/>
        </w:rPr>
      </w:pPr>
    </w:p>
    <w:p w:rsidR="004B3AD8" w:rsidRPr="00665266" w:rsidRDefault="004B3AD8" w:rsidP="004B3AD8">
      <w:pPr>
        <w:pStyle w:val="Default"/>
        <w:spacing w:after="80"/>
        <w:jc w:val="both"/>
        <w:rPr>
          <w:rFonts w:asciiTheme="minorHAnsi" w:hAnsiTheme="minorHAnsi" w:cs="Times New Roman"/>
        </w:rPr>
        <w:sectPr w:rsidR="004B3AD8" w:rsidRPr="00665266" w:rsidSect="003B20BC">
          <w:type w:val="continuous"/>
          <w:pgSz w:w="12240" w:h="15840" w:code="1"/>
          <w:pgMar w:top="1440" w:right="1080" w:bottom="720" w:left="1080" w:header="720" w:footer="720" w:gutter="0"/>
          <w:cols w:num="2" w:space="360"/>
          <w:titlePg/>
          <w:docGrid w:linePitch="360"/>
        </w:sectPr>
      </w:pPr>
    </w:p>
    <w:p w:rsidR="009338E8" w:rsidRDefault="009338E8">
      <w:pPr>
        <w:spacing w:after="200" w:line="276" w:lineRule="auto"/>
        <w:jc w:val="left"/>
        <w:rPr>
          <w:b/>
          <w:bCs/>
          <w:color w:val="C00000"/>
          <w:u w:val="single"/>
        </w:rPr>
      </w:pPr>
      <w:r>
        <w:rPr>
          <w:b/>
          <w:bCs/>
          <w:color w:val="C00000"/>
          <w:u w:val="single"/>
        </w:rPr>
        <w:lastRenderedPageBreak/>
        <w:br w:type="page"/>
      </w:r>
    </w:p>
    <w:p w:rsidR="004B3AD8" w:rsidRPr="00665266" w:rsidRDefault="00993665" w:rsidP="004B3AD8">
      <w:pPr>
        <w:spacing w:before="240" w:after="120"/>
        <w:rPr>
          <w:b/>
          <w:bCs/>
          <w:color w:val="C00000"/>
        </w:rPr>
      </w:pPr>
      <w:r w:rsidRPr="00993665">
        <w:rPr>
          <w:b/>
          <w:bCs/>
          <w:color w:val="C00000"/>
          <w:u w:val="single"/>
        </w:rPr>
        <w:lastRenderedPageBreak/>
        <w:t>COMMUNITIES</w:t>
      </w:r>
      <w:r w:rsidR="004B3AD8" w:rsidRPr="00665266">
        <w:rPr>
          <w:b/>
          <w:bCs/>
          <w:color w:val="C00000"/>
        </w:rPr>
        <w:t xml:space="preserve"> </w:t>
      </w:r>
      <w:r w:rsidR="004B3AD8" w:rsidRPr="00D809F3">
        <w:rPr>
          <w:b/>
          <w:bCs/>
          <w:color w:val="C00000"/>
        </w:rPr>
        <w:t xml:space="preserve">must </w:t>
      </w:r>
      <w:r w:rsidR="004B3AD8" w:rsidRPr="00665266">
        <w:rPr>
          <w:b/>
          <w:bCs/>
          <w:color w:val="C00000"/>
        </w:rPr>
        <w:t xml:space="preserve">have the following two (2) plans in place before HSEM will consider funding other projects. </w:t>
      </w:r>
      <w:r w:rsidR="004B3AD8" w:rsidRPr="00665266">
        <w:rPr>
          <w:bCs/>
          <w:color w:val="000000"/>
        </w:rPr>
        <w:t>Applicants may apply for funding for these plans in conjunction with other projects.</w:t>
      </w:r>
    </w:p>
    <w:p w:rsidR="004B3AD8" w:rsidRPr="00665266" w:rsidRDefault="004B3AD8" w:rsidP="000943B6">
      <w:pPr>
        <w:pStyle w:val="ListParagraph"/>
        <w:numPr>
          <w:ilvl w:val="0"/>
          <w:numId w:val="25"/>
        </w:numPr>
        <w:spacing w:after="120"/>
        <w:ind w:left="810" w:hanging="270"/>
        <w:rPr>
          <w:b/>
          <w:bCs/>
          <w:sz w:val="24"/>
          <w:szCs w:val="24"/>
        </w:rPr>
      </w:pPr>
      <w:r w:rsidRPr="00665266">
        <w:rPr>
          <w:b/>
          <w:bCs/>
          <w:sz w:val="24"/>
          <w:szCs w:val="24"/>
        </w:rPr>
        <w:t xml:space="preserve">Updated LEOP (revised less than 5 years ago) </w:t>
      </w:r>
    </w:p>
    <w:p w:rsidR="004B3AD8" w:rsidRPr="00665266" w:rsidRDefault="004B3AD8" w:rsidP="000943B6">
      <w:pPr>
        <w:pStyle w:val="ListParagraph"/>
        <w:numPr>
          <w:ilvl w:val="0"/>
          <w:numId w:val="25"/>
        </w:numPr>
        <w:spacing w:after="120"/>
        <w:ind w:left="810" w:hanging="270"/>
        <w:rPr>
          <w:b/>
          <w:bCs/>
          <w:sz w:val="24"/>
          <w:szCs w:val="24"/>
        </w:rPr>
      </w:pPr>
      <w:r w:rsidRPr="00665266">
        <w:rPr>
          <w:b/>
          <w:bCs/>
          <w:sz w:val="24"/>
          <w:szCs w:val="24"/>
        </w:rPr>
        <w:t>FEMA approv</w:t>
      </w:r>
      <w:r w:rsidR="000943B6" w:rsidRPr="00665266">
        <w:rPr>
          <w:b/>
          <w:bCs/>
          <w:sz w:val="24"/>
          <w:szCs w:val="24"/>
        </w:rPr>
        <w:t>ed</w:t>
      </w:r>
      <w:r w:rsidRPr="00665266">
        <w:rPr>
          <w:b/>
          <w:bCs/>
          <w:sz w:val="24"/>
          <w:szCs w:val="24"/>
        </w:rPr>
        <w:t xml:space="preserve"> </w:t>
      </w:r>
      <w:r w:rsidR="000943B6" w:rsidRPr="00665266">
        <w:rPr>
          <w:b/>
          <w:bCs/>
          <w:sz w:val="24"/>
          <w:szCs w:val="24"/>
        </w:rPr>
        <w:t>Multi</w:t>
      </w:r>
      <w:r w:rsidRPr="00665266">
        <w:rPr>
          <w:b/>
          <w:bCs/>
          <w:sz w:val="24"/>
          <w:szCs w:val="24"/>
        </w:rPr>
        <w:t>-Hazard Mitigation Plan</w:t>
      </w:r>
      <w:r w:rsidR="002956CA" w:rsidRPr="00665266">
        <w:rPr>
          <w:b/>
          <w:bCs/>
          <w:sz w:val="24"/>
          <w:szCs w:val="24"/>
        </w:rPr>
        <w:t xml:space="preserve"> </w:t>
      </w:r>
    </w:p>
    <w:p w:rsidR="004B3AD8" w:rsidRPr="00665266" w:rsidRDefault="004B3AD8" w:rsidP="004B3AD8">
      <w:pPr>
        <w:spacing w:before="120" w:after="120"/>
        <w:rPr>
          <w:b/>
          <w:bCs/>
          <w:color w:val="C00000"/>
        </w:rPr>
      </w:pPr>
      <w:r w:rsidRPr="00665266">
        <w:rPr>
          <w:b/>
          <w:bCs/>
          <w:color w:val="C00000"/>
          <w:u w:val="single"/>
        </w:rPr>
        <w:t>SCHOOLS</w:t>
      </w:r>
      <w:r w:rsidRPr="00665266">
        <w:rPr>
          <w:b/>
          <w:bCs/>
          <w:color w:val="C00000"/>
        </w:rPr>
        <w:t xml:space="preserve"> </w:t>
      </w:r>
      <w:r w:rsidRPr="00D809F3">
        <w:rPr>
          <w:b/>
          <w:bCs/>
          <w:color w:val="C00000"/>
        </w:rPr>
        <w:t xml:space="preserve">must </w:t>
      </w:r>
      <w:r w:rsidRPr="00665266">
        <w:rPr>
          <w:b/>
          <w:bCs/>
          <w:color w:val="C00000"/>
        </w:rPr>
        <w:t>have a site specific emergency response plan (compliant with RSA 189:64) that</w:t>
      </w:r>
      <w:r w:rsidR="000943B6" w:rsidRPr="00665266">
        <w:rPr>
          <w:b/>
          <w:bCs/>
          <w:color w:val="C00000"/>
        </w:rPr>
        <w:t xml:space="preserve"> supports implementation of </w:t>
      </w:r>
      <w:r w:rsidRPr="00665266">
        <w:rPr>
          <w:b/>
          <w:bCs/>
          <w:color w:val="C00000"/>
        </w:rPr>
        <w:t xml:space="preserve">NIMS if receiving funds from this grant program. </w:t>
      </w:r>
    </w:p>
    <w:p w:rsidR="004B3AD8" w:rsidRPr="00665266" w:rsidRDefault="000943B6" w:rsidP="004375F5">
      <w:r w:rsidRPr="00665266">
        <w:t>For c</w:t>
      </w:r>
      <w:r w:rsidR="004B3AD8" w:rsidRPr="00665266">
        <w:t xml:space="preserve">ommunities within the Seabrook Station </w:t>
      </w:r>
      <w:r w:rsidRPr="00665266">
        <w:t>Nuclear Power Plant Emergency Planning Zone (</w:t>
      </w:r>
      <w:r w:rsidR="004B3AD8" w:rsidRPr="00665266">
        <w:t>EPZ</w:t>
      </w:r>
      <w:r w:rsidRPr="00665266">
        <w:t>)</w:t>
      </w:r>
      <w:r w:rsidR="004B3AD8" w:rsidRPr="00665266">
        <w:t>, the HSEM Technological Hazards Section will provide assistance in deve</w:t>
      </w:r>
      <w:r w:rsidRPr="00665266">
        <w:t xml:space="preserve">loping the </w:t>
      </w:r>
      <w:r w:rsidRPr="00665266">
        <w:rPr>
          <w:i/>
        </w:rPr>
        <w:t>Community Emergency R</w:t>
      </w:r>
      <w:r w:rsidR="004B3AD8" w:rsidRPr="00665266">
        <w:rPr>
          <w:i/>
        </w:rPr>
        <w:t>esponse for Nuclear Facilities Plan</w:t>
      </w:r>
      <w:r w:rsidR="004B3AD8" w:rsidRPr="00665266">
        <w:t xml:space="preserve"> and the </w:t>
      </w:r>
      <w:r w:rsidR="004B3AD8" w:rsidRPr="00665266">
        <w:rPr>
          <w:i/>
        </w:rPr>
        <w:t>Radiological Emergency Response for Nuclear Facilities Host Plan</w:t>
      </w:r>
      <w:r w:rsidR="004B3AD8" w:rsidRPr="00665266">
        <w:t>.</w:t>
      </w:r>
    </w:p>
    <w:p w:rsidR="001600B4" w:rsidRPr="00665266" w:rsidRDefault="001600B4" w:rsidP="00152460">
      <w:pPr>
        <w:pStyle w:val="Heading2"/>
      </w:pPr>
      <w:bookmarkStart w:id="40" w:name="_Toc480368206"/>
      <w:r w:rsidRPr="00665266">
        <w:t>B.</w:t>
      </w:r>
      <w:r w:rsidR="002956CA" w:rsidRPr="00665266">
        <w:t xml:space="preserve"> </w:t>
      </w:r>
      <w:r w:rsidRPr="00665266">
        <w:t>Organization/Administrative</w:t>
      </w:r>
      <w:bookmarkEnd w:id="40"/>
    </w:p>
    <w:p w:rsidR="003F4E25" w:rsidRPr="00665266" w:rsidRDefault="00382CFF" w:rsidP="00475D17">
      <w:pPr>
        <w:spacing w:after="120"/>
        <w:rPr>
          <w:b/>
          <w:bCs/>
          <w:i/>
        </w:rPr>
      </w:pPr>
      <w:r w:rsidRPr="00665266">
        <w:t xml:space="preserve">Per the Robert T. Stafford Disaster Relief and Emergency Assistance Act, as amended, (42 U.S.C. §§ 5121-5207), </w:t>
      </w:r>
      <w:r w:rsidR="003F4E25" w:rsidRPr="00665266">
        <w:t>EMPG Program funds may be used for all-hazards emergency management operations, staffing, and other activities in support of emergency management, if project driven. Proposed staffing activities should be linked to accomplishing emergency management-related projects and activities.</w:t>
      </w:r>
      <w:r w:rsidR="002956CA" w:rsidRPr="00665266">
        <w:t xml:space="preserve"> </w:t>
      </w:r>
    </w:p>
    <w:p w:rsidR="003F4E25" w:rsidRPr="00665266" w:rsidRDefault="003F4E25" w:rsidP="00A02029">
      <w:r w:rsidRPr="00665266">
        <w:rPr>
          <w:i/>
        </w:rPr>
        <w:t>Organization/Administrative</w:t>
      </w:r>
      <w:r w:rsidRPr="00665266">
        <w:t xml:space="preserve"> projects </w:t>
      </w:r>
      <w:r w:rsidR="00894E51" w:rsidRPr="00665266">
        <w:t>and</w:t>
      </w:r>
      <w:r w:rsidRPr="00665266">
        <w:t xml:space="preserve"> activities may include, but are not limited to, the following:</w:t>
      </w:r>
    </w:p>
    <w:p w:rsidR="003F4E25" w:rsidRPr="00665266" w:rsidRDefault="003F4E25" w:rsidP="00946C74">
      <w:pPr>
        <w:numPr>
          <w:ilvl w:val="0"/>
          <w:numId w:val="9"/>
        </w:numPr>
        <w:tabs>
          <w:tab w:val="clear" w:pos="2160"/>
        </w:tabs>
        <w:spacing w:after="120"/>
        <w:ind w:left="630"/>
      </w:pPr>
      <w:r w:rsidRPr="00665266">
        <w:t xml:space="preserve">Maintain/upgrade an </w:t>
      </w:r>
      <w:r w:rsidR="0012332C" w:rsidRPr="00665266">
        <w:t>Emergency Operations Center (EOC)</w:t>
      </w:r>
      <w:r w:rsidRPr="00665266">
        <w:t xml:space="preserve"> capable of accommodating staff to respond to local emergencies.</w:t>
      </w:r>
    </w:p>
    <w:p w:rsidR="003F4E25" w:rsidRPr="00665266" w:rsidRDefault="003F4E25" w:rsidP="00946C74">
      <w:pPr>
        <w:numPr>
          <w:ilvl w:val="0"/>
          <w:numId w:val="9"/>
        </w:numPr>
        <w:tabs>
          <w:tab w:val="clear" w:pos="2160"/>
        </w:tabs>
        <w:spacing w:after="120"/>
        <w:ind w:left="630"/>
      </w:pPr>
      <w:r w:rsidRPr="00665266">
        <w:t>Establish and maintain a call-down list for EOC staff.</w:t>
      </w:r>
    </w:p>
    <w:p w:rsidR="003F4E25" w:rsidRPr="00665266" w:rsidRDefault="003F4E25" w:rsidP="00946C74">
      <w:pPr>
        <w:numPr>
          <w:ilvl w:val="0"/>
          <w:numId w:val="9"/>
        </w:numPr>
        <w:tabs>
          <w:tab w:val="clear" w:pos="2160"/>
        </w:tabs>
        <w:spacing w:after="120"/>
        <w:ind w:left="630"/>
      </w:pPr>
      <w:r w:rsidRPr="00665266">
        <w:t>Establish and maintain emergency response/recovery resource lists.</w:t>
      </w:r>
    </w:p>
    <w:p w:rsidR="003F4E25" w:rsidRPr="00665266" w:rsidRDefault="003F4E25" w:rsidP="00946C74">
      <w:pPr>
        <w:numPr>
          <w:ilvl w:val="0"/>
          <w:numId w:val="9"/>
        </w:numPr>
        <w:tabs>
          <w:tab w:val="clear" w:pos="2160"/>
        </w:tabs>
        <w:spacing w:after="120"/>
        <w:ind w:left="630"/>
      </w:pPr>
      <w:r w:rsidRPr="00665266">
        <w:t>Logistics and Resource Management, following the DHS/FEMA program guidance.</w:t>
      </w:r>
    </w:p>
    <w:p w:rsidR="003F4E25" w:rsidRPr="00665266" w:rsidRDefault="003F4E25" w:rsidP="00946C74">
      <w:pPr>
        <w:numPr>
          <w:ilvl w:val="0"/>
          <w:numId w:val="9"/>
        </w:numPr>
        <w:tabs>
          <w:tab w:val="clear" w:pos="2160"/>
        </w:tabs>
        <w:spacing w:after="120"/>
        <w:ind w:left="630"/>
      </w:pPr>
      <w:r w:rsidRPr="00665266">
        <w:t>Develop and maintain written duties and responsibilities for EOC staff positions and agency representatives (Checklist/Job Action Sheets).</w:t>
      </w:r>
    </w:p>
    <w:p w:rsidR="003F4E25" w:rsidRPr="00665266" w:rsidRDefault="003F4E25" w:rsidP="00946C74">
      <w:pPr>
        <w:pStyle w:val="Default"/>
        <w:numPr>
          <w:ilvl w:val="0"/>
          <w:numId w:val="9"/>
        </w:numPr>
        <w:tabs>
          <w:tab w:val="clear" w:pos="2160"/>
        </w:tabs>
        <w:spacing w:after="120"/>
        <w:ind w:left="630"/>
        <w:jc w:val="both"/>
        <w:rPr>
          <w:rFonts w:asciiTheme="minorHAnsi" w:hAnsiTheme="minorHAnsi" w:cs="Times New Roman"/>
        </w:rPr>
      </w:pPr>
      <w:r w:rsidRPr="00665266">
        <w:rPr>
          <w:rFonts w:asciiTheme="minorHAnsi" w:hAnsiTheme="minorHAnsi" w:cs="Times New Roman"/>
        </w:rPr>
        <w:t xml:space="preserve">Develop and maintain </w:t>
      </w:r>
      <w:r w:rsidR="00894E51" w:rsidRPr="00665266">
        <w:rPr>
          <w:rFonts w:asciiTheme="minorHAnsi" w:hAnsiTheme="minorHAnsi" w:cs="Times New Roman"/>
        </w:rPr>
        <w:t>p</w:t>
      </w:r>
      <w:r w:rsidRPr="00665266">
        <w:rPr>
          <w:rFonts w:asciiTheme="minorHAnsi" w:hAnsiTheme="minorHAnsi" w:cs="Times New Roman"/>
        </w:rPr>
        <w:t>ublic-</w:t>
      </w:r>
      <w:r w:rsidR="00894E51" w:rsidRPr="00665266">
        <w:rPr>
          <w:rFonts w:asciiTheme="minorHAnsi" w:hAnsiTheme="minorHAnsi" w:cs="Times New Roman"/>
        </w:rPr>
        <w:t>p</w:t>
      </w:r>
      <w:r w:rsidRPr="00665266">
        <w:rPr>
          <w:rFonts w:asciiTheme="minorHAnsi" w:hAnsiTheme="minorHAnsi" w:cs="Times New Roman"/>
        </w:rPr>
        <w:t xml:space="preserve">rivate sector partnerships. </w:t>
      </w:r>
    </w:p>
    <w:p w:rsidR="003F4E25" w:rsidRPr="00665266" w:rsidRDefault="003F4E25" w:rsidP="00946C74">
      <w:pPr>
        <w:pStyle w:val="Default"/>
        <w:numPr>
          <w:ilvl w:val="0"/>
          <w:numId w:val="9"/>
        </w:numPr>
        <w:tabs>
          <w:tab w:val="clear" w:pos="2160"/>
        </w:tabs>
        <w:spacing w:after="120"/>
        <w:ind w:left="630"/>
        <w:jc w:val="both"/>
        <w:rPr>
          <w:rFonts w:asciiTheme="minorHAnsi" w:hAnsiTheme="minorHAnsi" w:cs="Times New Roman"/>
        </w:rPr>
      </w:pPr>
      <w:r w:rsidRPr="00665266">
        <w:rPr>
          <w:rFonts w:asciiTheme="minorHAnsi" w:hAnsiTheme="minorHAnsi" w:cs="Times New Roman"/>
        </w:rPr>
        <w:t>Conduct a hazard analysis and risk assessment.</w:t>
      </w:r>
    </w:p>
    <w:p w:rsidR="003F4E25" w:rsidRPr="00665266" w:rsidRDefault="003F4E25" w:rsidP="00946C74">
      <w:pPr>
        <w:pStyle w:val="Default"/>
        <w:numPr>
          <w:ilvl w:val="0"/>
          <w:numId w:val="9"/>
        </w:numPr>
        <w:tabs>
          <w:tab w:val="clear" w:pos="2160"/>
        </w:tabs>
        <w:spacing w:after="120"/>
        <w:ind w:left="630"/>
        <w:jc w:val="both"/>
        <w:rPr>
          <w:rFonts w:asciiTheme="minorHAnsi" w:hAnsiTheme="minorHAnsi" w:cs="Times New Roman"/>
        </w:rPr>
      </w:pPr>
      <w:r w:rsidRPr="00665266">
        <w:rPr>
          <w:rFonts w:asciiTheme="minorHAnsi" w:hAnsiTheme="minorHAnsi" w:cs="Times New Roman"/>
        </w:rPr>
        <w:t xml:space="preserve">Develop public education and awareness information (i.e., brochures </w:t>
      </w:r>
      <w:r w:rsidR="00894E51" w:rsidRPr="00665266">
        <w:rPr>
          <w:rFonts w:asciiTheme="minorHAnsi" w:hAnsiTheme="minorHAnsi" w:cs="Times New Roman"/>
        </w:rPr>
        <w:t>and</w:t>
      </w:r>
      <w:r w:rsidRPr="00665266">
        <w:rPr>
          <w:rFonts w:asciiTheme="minorHAnsi" w:hAnsiTheme="minorHAnsi" w:cs="Times New Roman"/>
        </w:rPr>
        <w:t xml:space="preserve"> pamphlets).</w:t>
      </w:r>
    </w:p>
    <w:p w:rsidR="003F4E25" w:rsidRPr="00665266" w:rsidRDefault="003F4E25" w:rsidP="00946C74">
      <w:pPr>
        <w:numPr>
          <w:ilvl w:val="0"/>
          <w:numId w:val="9"/>
        </w:numPr>
        <w:tabs>
          <w:tab w:val="clear" w:pos="2160"/>
        </w:tabs>
        <w:spacing w:after="120"/>
        <w:ind w:left="630"/>
      </w:pPr>
      <w:r w:rsidRPr="00665266">
        <w:t>Develop and maintain a list of private non-profit organizations within your local jurisdiction to ensure that these organizations are included in requests for public assistance funds.</w:t>
      </w:r>
    </w:p>
    <w:p w:rsidR="003F4E25" w:rsidRPr="00665266" w:rsidRDefault="003F4E25" w:rsidP="00946C74">
      <w:pPr>
        <w:pStyle w:val="Default"/>
        <w:numPr>
          <w:ilvl w:val="0"/>
          <w:numId w:val="9"/>
        </w:numPr>
        <w:tabs>
          <w:tab w:val="clear" w:pos="2160"/>
        </w:tabs>
        <w:spacing w:after="120"/>
        <w:ind w:left="630"/>
        <w:jc w:val="both"/>
        <w:rPr>
          <w:rFonts w:asciiTheme="minorHAnsi" w:hAnsiTheme="minorHAnsi" w:cs="Times New Roman"/>
        </w:rPr>
      </w:pPr>
      <w:r w:rsidRPr="00665266">
        <w:rPr>
          <w:rFonts w:asciiTheme="minorHAnsi" w:hAnsiTheme="minorHAnsi" w:cs="Times New Roman"/>
        </w:rPr>
        <w:t xml:space="preserve">Develop/enhance financial and administrative procedures for use before, during, and after disaster events in support of a comprehensive emergency management program. </w:t>
      </w:r>
    </w:p>
    <w:p w:rsidR="003F4E25" w:rsidRPr="00665266" w:rsidRDefault="003F4E25" w:rsidP="00946C74">
      <w:pPr>
        <w:numPr>
          <w:ilvl w:val="0"/>
          <w:numId w:val="9"/>
        </w:numPr>
        <w:tabs>
          <w:tab w:val="clear" w:pos="2160"/>
        </w:tabs>
        <w:spacing w:after="120"/>
        <w:ind w:left="630"/>
        <w:rPr>
          <w:b/>
          <w:bCs/>
        </w:rPr>
      </w:pPr>
      <w:r w:rsidRPr="00665266">
        <w:t>Develop or up</w:t>
      </w:r>
      <w:r w:rsidR="00894E51" w:rsidRPr="00665266">
        <w:t xml:space="preserve">date procedures for tracking </w:t>
      </w:r>
      <w:r w:rsidRPr="00665266">
        <w:t>disaster-related expenses by local agencies.</w:t>
      </w:r>
    </w:p>
    <w:p w:rsidR="003F4E25" w:rsidRPr="00665266" w:rsidRDefault="003F4E25" w:rsidP="00946C74">
      <w:pPr>
        <w:numPr>
          <w:ilvl w:val="0"/>
          <w:numId w:val="9"/>
        </w:numPr>
        <w:tabs>
          <w:tab w:val="clear" w:pos="2160"/>
        </w:tabs>
        <w:spacing w:after="120"/>
        <w:ind w:left="630"/>
        <w:rPr>
          <w:b/>
          <w:bCs/>
        </w:rPr>
      </w:pPr>
      <w:r w:rsidRPr="00665266">
        <w:lastRenderedPageBreak/>
        <w:t>Program evaluations.</w:t>
      </w:r>
    </w:p>
    <w:p w:rsidR="003F4E25" w:rsidRPr="00665266" w:rsidRDefault="003F4E25" w:rsidP="00946C74">
      <w:pPr>
        <w:numPr>
          <w:ilvl w:val="0"/>
          <w:numId w:val="9"/>
        </w:numPr>
        <w:tabs>
          <w:tab w:val="clear" w:pos="2160"/>
        </w:tabs>
        <w:spacing w:after="120"/>
        <w:ind w:left="630"/>
      </w:pPr>
      <w:r w:rsidRPr="00665266">
        <w:t>Develop/enhance systems to monitor training programs.</w:t>
      </w:r>
    </w:p>
    <w:p w:rsidR="001600B4" w:rsidRPr="00665266" w:rsidRDefault="001600B4" w:rsidP="00152460">
      <w:pPr>
        <w:pStyle w:val="Heading2"/>
      </w:pPr>
      <w:bookmarkStart w:id="41" w:name="_Toc480368207"/>
      <w:r w:rsidRPr="00665266">
        <w:t>C.</w:t>
      </w:r>
      <w:r w:rsidR="002956CA" w:rsidRPr="00665266">
        <w:t xml:space="preserve"> </w:t>
      </w:r>
      <w:r w:rsidRPr="00665266">
        <w:t>Equipment</w:t>
      </w:r>
      <w:bookmarkEnd w:id="41"/>
    </w:p>
    <w:p w:rsidR="007E783E" w:rsidRDefault="003F4E25" w:rsidP="007E783E">
      <w:pPr>
        <w:autoSpaceDE w:val="0"/>
        <w:autoSpaceDN w:val="0"/>
        <w:adjustRightInd w:val="0"/>
      </w:pPr>
      <w:proofErr w:type="gramStart"/>
      <w:r w:rsidRPr="00665266">
        <w:rPr>
          <w:color w:val="000000"/>
        </w:rPr>
        <w:t xml:space="preserve">Allowable equipment categories for the EMPG Program are listed on the web-based version of the Federal Authorized Equipment List (AEL) and </w:t>
      </w:r>
      <w:r w:rsidRPr="00665266">
        <w:t>is</w:t>
      </w:r>
      <w:proofErr w:type="gramEnd"/>
      <w:r w:rsidRPr="00665266">
        <w:t xml:space="preserve"> available</w:t>
      </w:r>
      <w:r w:rsidR="0012332C" w:rsidRPr="00665266">
        <w:t xml:space="preserve"> </w:t>
      </w:r>
      <w:r w:rsidRPr="00665266">
        <w:t>at:</w:t>
      </w:r>
    </w:p>
    <w:p w:rsidR="003F4E25" w:rsidRPr="00665266" w:rsidRDefault="00DD0E47" w:rsidP="00F75E27">
      <w:pPr>
        <w:autoSpaceDE w:val="0"/>
        <w:autoSpaceDN w:val="0"/>
        <w:adjustRightInd w:val="0"/>
        <w:spacing w:after="120"/>
      </w:pPr>
      <w:hyperlink r:id="rId48" w:history="1">
        <w:r w:rsidR="0012332C" w:rsidRPr="00665266">
          <w:rPr>
            <w:rStyle w:val="Hyperlink"/>
          </w:rPr>
          <w:t>https://www.fema.gov/authorized-equipment-list</w:t>
        </w:r>
      </w:hyperlink>
      <w:r w:rsidR="003F4E25" w:rsidRPr="00665266">
        <w:t>.</w:t>
      </w:r>
      <w:r w:rsidR="002956CA" w:rsidRPr="00665266">
        <w:t xml:space="preserve"> </w:t>
      </w:r>
    </w:p>
    <w:p w:rsidR="003F4E25" w:rsidRPr="00665266" w:rsidRDefault="003F4E25" w:rsidP="00F75E27">
      <w:pPr>
        <w:autoSpaceDE w:val="0"/>
        <w:autoSpaceDN w:val="0"/>
        <w:adjustRightInd w:val="0"/>
        <w:spacing w:after="120"/>
        <w:rPr>
          <w:color w:val="000000"/>
        </w:rPr>
      </w:pPr>
      <w:r w:rsidRPr="00665266">
        <w:rPr>
          <w:color w:val="000000"/>
        </w:rPr>
        <w:t xml:space="preserve">Unless otherwise stated, equipment </w:t>
      </w:r>
      <w:r w:rsidRPr="00D809F3">
        <w:rPr>
          <w:b/>
          <w:i/>
          <w:color w:val="000000"/>
          <w:u w:val="single"/>
        </w:rPr>
        <w:t>must</w:t>
      </w:r>
      <w:r w:rsidRPr="00665266">
        <w:rPr>
          <w:color w:val="000000"/>
        </w:rPr>
        <w:t xml:space="preserve"> meet all mandatory regulatory and/or FEMA-adopted standards to be eligible for purchase using these funds. In addition, agencies will be responsible for obtaining and maintaining all necessary certifications and licenses for the requested equipment. </w:t>
      </w:r>
    </w:p>
    <w:p w:rsidR="003F4E25" w:rsidRPr="00665266" w:rsidRDefault="0012332C" w:rsidP="00F75E27">
      <w:pPr>
        <w:autoSpaceDE w:val="0"/>
        <w:autoSpaceDN w:val="0"/>
        <w:adjustRightInd w:val="0"/>
        <w:spacing w:after="120"/>
        <w:rPr>
          <w:b/>
          <w:color w:val="000000"/>
        </w:rPr>
      </w:pPr>
      <w:r w:rsidRPr="00665266">
        <w:rPr>
          <w:b/>
          <w:color w:val="000000"/>
        </w:rPr>
        <w:t>A</w:t>
      </w:r>
      <w:r w:rsidR="003F4E25" w:rsidRPr="00665266">
        <w:rPr>
          <w:b/>
          <w:color w:val="000000"/>
        </w:rPr>
        <w:t>llowable equipment</w:t>
      </w:r>
      <w:r w:rsidR="00894E51" w:rsidRPr="00665266">
        <w:rPr>
          <w:b/>
          <w:color w:val="000000"/>
        </w:rPr>
        <w:t>,</w:t>
      </w:r>
      <w:r w:rsidR="003F4E25" w:rsidRPr="00665266">
        <w:rPr>
          <w:b/>
          <w:color w:val="000000"/>
        </w:rPr>
        <w:t xml:space="preserve"> </w:t>
      </w:r>
      <w:r w:rsidR="00894E51" w:rsidRPr="00665266">
        <w:rPr>
          <w:b/>
          <w:color w:val="000000"/>
        </w:rPr>
        <w:t xml:space="preserve">under NH’s EMPG Program, </w:t>
      </w:r>
      <w:r w:rsidR="003F4E25" w:rsidRPr="00665266">
        <w:rPr>
          <w:b/>
          <w:color w:val="000000"/>
        </w:rPr>
        <w:t xml:space="preserve">includes equipment from the following AEL Categories: </w:t>
      </w:r>
    </w:p>
    <w:p w:rsidR="003F4E25" w:rsidRPr="00665266" w:rsidRDefault="003F4E25" w:rsidP="00F75E27">
      <w:pPr>
        <w:spacing w:after="120"/>
        <w:ind w:left="1080" w:hanging="720"/>
        <w:rPr>
          <w:bCs/>
        </w:rPr>
      </w:pPr>
      <w:r w:rsidRPr="00665266">
        <w:rPr>
          <w:bCs/>
        </w:rPr>
        <w:t>[04]</w:t>
      </w:r>
      <w:r w:rsidRPr="00665266">
        <w:rPr>
          <w:bCs/>
        </w:rPr>
        <w:tab/>
        <w:t>Information Technology</w:t>
      </w:r>
    </w:p>
    <w:p w:rsidR="003F4E25" w:rsidRPr="00665266" w:rsidRDefault="003F4E25" w:rsidP="00F75E27">
      <w:pPr>
        <w:spacing w:after="120"/>
        <w:ind w:left="1080" w:hanging="720"/>
        <w:rPr>
          <w:bCs/>
        </w:rPr>
      </w:pPr>
      <w:r w:rsidRPr="00665266">
        <w:rPr>
          <w:bCs/>
        </w:rPr>
        <w:t>[05]</w:t>
      </w:r>
      <w:r w:rsidRPr="00665266">
        <w:rPr>
          <w:bCs/>
        </w:rPr>
        <w:tab/>
        <w:t>Cyber Security Enhancement Equipment</w:t>
      </w:r>
    </w:p>
    <w:p w:rsidR="003F4E25" w:rsidRPr="00665266" w:rsidRDefault="003F4E25" w:rsidP="00F75E27">
      <w:pPr>
        <w:spacing w:after="120"/>
        <w:ind w:left="1080" w:hanging="720"/>
        <w:rPr>
          <w:b/>
          <w:bCs/>
          <w:vertAlign w:val="superscript"/>
        </w:rPr>
      </w:pPr>
      <w:r w:rsidRPr="00665266">
        <w:rPr>
          <w:bCs/>
        </w:rPr>
        <w:t>[06]</w:t>
      </w:r>
      <w:r w:rsidRPr="00665266">
        <w:rPr>
          <w:bCs/>
        </w:rPr>
        <w:tab/>
        <w:t xml:space="preserve">Interoperable Communications Equipment </w:t>
      </w:r>
      <w:r w:rsidRPr="00665266">
        <w:rPr>
          <w:bCs/>
          <w:i/>
        </w:rPr>
        <w:t xml:space="preserve">(refer to SAFECOM Guidance </w:t>
      </w:r>
      <w:r w:rsidR="00CA01E3">
        <w:rPr>
          <w:bCs/>
          <w:i/>
        </w:rPr>
        <w:t>info on Page 11</w:t>
      </w:r>
      <w:r w:rsidRPr="00665266">
        <w:rPr>
          <w:bCs/>
          <w:i/>
        </w:rPr>
        <w:t>)</w:t>
      </w:r>
      <w:r w:rsidR="00894E51" w:rsidRPr="00665266">
        <w:rPr>
          <w:b/>
          <w:bCs/>
          <w:sz w:val="28"/>
          <w:szCs w:val="28"/>
          <w:vertAlign w:val="superscript"/>
        </w:rPr>
        <w:t>1</w:t>
      </w:r>
    </w:p>
    <w:p w:rsidR="003F4E25" w:rsidRPr="00665266" w:rsidRDefault="003F4E25" w:rsidP="00F75E27">
      <w:pPr>
        <w:spacing w:after="120"/>
        <w:ind w:left="1080" w:hanging="720"/>
        <w:rPr>
          <w:bCs/>
        </w:rPr>
      </w:pPr>
      <w:r w:rsidRPr="00665266">
        <w:rPr>
          <w:bCs/>
        </w:rPr>
        <w:t>[07]</w:t>
      </w:r>
      <w:r w:rsidRPr="00665266">
        <w:rPr>
          <w:bCs/>
        </w:rPr>
        <w:tab/>
        <w:t>Detection Equipment</w:t>
      </w:r>
    </w:p>
    <w:p w:rsidR="003F4E25" w:rsidRPr="00665266" w:rsidRDefault="003F4E25" w:rsidP="00F75E27">
      <w:pPr>
        <w:spacing w:after="120"/>
        <w:ind w:left="1080" w:hanging="720"/>
        <w:rPr>
          <w:b/>
          <w:bCs/>
          <w:vertAlign w:val="superscript"/>
        </w:rPr>
      </w:pPr>
      <w:r w:rsidRPr="00665266">
        <w:rPr>
          <w:bCs/>
        </w:rPr>
        <w:t>[10]</w:t>
      </w:r>
      <w:r w:rsidRPr="00665266">
        <w:rPr>
          <w:bCs/>
        </w:rPr>
        <w:tab/>
        <w:t>Pow</w:t>
      </w:r>
      <w:r w:rsidR="0012332C" w:rsidRPr="00665266">
        <w:rPr>
          <w:bCs/>
        </w:rPr>
        <w:t>er Equipment (i.e., generators</w:t>
      </w:r>
      <w:proofErr w:type="gramStart"/>
      <w:r w:rsidR="0012332C" w:rsidRPr="00665266">
        <w:rPr>
          <w:bCs/>
        </w:rPr>
        <w:t>)</w:t>
      </w:r>
      <w:r w:rsidR="006910D4" w:rsidRPr="00665266">
        <w:rPr>
          <w:b/>
          <w:bCs/>
          <w:sz w:val="28"/>
          <w:szCs w:val="28"/>
          <w:vertAlign w:val="superscript"/>
        </w:rPr>
        <w:t>2</w:t>
      </w:r>
      <w:proofErr w:type="gramEnd"/>
    </w:p>
    <w:p w:rsidR="003F4E25" w:rsidRPr="00665266" w:rsidRDefault="003F4E25" w:rsidP="00F75E27">
      <w:pPr>
        <w:spacing w:after="120"/>
        <w:ind w:left="1080" w:hanging="720"/>
        <w:rPr>
          <w:bCs/>
        </w:rPr>
      </w:pPr>
      <w:r w:rsidRPr="00665266">
        <w:rPr>
          <w:bCs/>
        </w:rPr>
        <w:t>[11]</w:t>
      </w:r>
      <w:r w:rsidRPr="00665266">
        <w:rPr>
          <w:bCs/>
        </w:rPr>
        <w:tab/>
        <w:t>CBRNE Reference Materials</w:t>
      </w:r>
    </w:p>
    <w:p w:rsidR="003F4E25" w:rsidRPr="00665266" w:rsidRDefault="003F4E25" w:rsidP="00F75E27">
      <w:pPr>
        <w:spacing w:after="120"/>
        <w:ind w:left="1080" w:hanging="720"/>
        <w:rPr>
          <w:bCs/>
        </w:rPr>
      </w:pPr>
      <w:r w:rsidRPr="00665266">
        <w:rPr>
          <w:bCs/>
        </w:rPr>
        <w:t>[14]</w:t>
      </w:r>
      <w:r w:rsidRPr="00665266">
        <w:rPr>
          <w:bCs/>
        </w:rPr>
        <w:tab/>
        <w:t>Physical Security Enhancement Equipment</w:t>
      </w:r>
    </w:p>
    <w:p w:rsidR="003F4E25" w:rsidRPr="00665266" w:rsidRDefault="003F4E25" w:rsidP="00F75E27">
      <w:pPr>
        <w:spacing w:after="120"/>
        <w:ind w:left="1080" w:hanging="720"/>
        <w:rPr>
          <w:bCs/>
        </w:rPr>
      </w:pPr>
      <w:r w:rsidRPr="00665266">
        <w:rPr>
          <w:bCs/>
        </w:rPr>
        <w:t>[19]</w:t>
      </w:r>
      <w:r w:rsidRPr="00665266">
        <w:rPr>
          <w:bCs/>
        </w:rPr>
        <w:tab/>
        <w:t>CBRNE Logistical Support Equipment</w:t>
      </w:r>
    </w:p>
    <w:p w:rsidR="003F4E25" w:rsidRPr="00665266" w:rsidRDefault="003F4E25" w:rsidP="00F75E27">
      <w:pPr>
        <w:spacing w:after="120"/>
        <w:ind w:left="1080" w:hanging="720"/>
        <w:rPr>
          <w:bCs/>
          <w:sz w:val="28"/>
          <w:szCs w:val="28"/>
        </w:rPr>
      </w:pPr>
      <w:r w:rsidRPr="00665266">
        <w:rPr>
          <w:bCs/>
        </w:rPr>
        <w:t>[21]</w:t>
      </w:r>
      <w:r w:rsidRPr="00665266">
        <w:rPr>
          <w:bCs/>
        </w:rPr>
        <w:tab/>
        <w:t>Other Authorized Equipment (i.e., equipment to support an E</w:t>
      </w:r>
      <w:r w:rsidR="0012332C" w:rsidRPr="00665266">
        <w:rPr>
          <w:bCs/>
        </w:rPr>
        <w:t>OC</w:t>
      </w:r>
      <w:proofErr w:type="gramStart"/>
      <w:r w:rsidRPr="00665266">
        <w:rPr>
          <w:bCs/>
        </w:rPr>
        <w:t>)</w:t>
      </w:r>
      <w:r w:rsidR="006910D4" w:rsidRPr="00665266">
        <w:rPr>
          <w:b/>
          <w:bCs/>
          <w:sz w:val="28"/>
          <w:szCs w:val="28"/>
          <w:vertAlign w:val="superscript"/>
        </w:rPr>
        <w:t>3</w:t>
      </w:r>
      <w:proofErr w:type="gramEnd"/>
    </w:p>
    <w:p w:rsidR="003F4E25" w:rsidRPr="00665266" w:rsidRDefault="003F4E25" w:rsidP="0012332C">
      <w:pPr>
        <w:tabs>
          <w:tab w:val="left" w:pos="180"/>
        </w:tabs>
        <w:spacing w:after="120"/>
      </w:pPr>
    </w:p>
    <w:p w:rsidR="003F4E25" w:rsidRPr="00665266" w:rsidRDefault="003F4E25" w:rsidP="00F75E27">
      <w:pPr>
        <w:spacing w:after="120"/>
      </w:pPr>
      <w:r w:rsidRPr="00665266">
        <w:t xml:space="preserve">If you have questions concerning the eligibility of equipment not specifically addressed in the AEL, contact your </w:t>
      </w:r>
      <w:r w:rsidR="00176F1A" w:rsidRPr="00665266">
        <w:t>HSEM</w:t>
      </w:r>
      <w:r w:rsidRPr="00665266">
        <w:t xml:space="preserve"> Field Representative for clarification. </w:t>
      </w:r>
    </w:p>
    <w:p w:rsidR="000113A4" w:rsidRDefault="000113A4" w:rsidP="00F75E27">
      <w:pPr>
        <w:spacing w:after="120"/>
      </w:pPr>
    </w:p>
    <w:p w:rsidR="00D809F3" w:rsidRDefault="00D809F3" w:rsidP="00F75E27">
      <w:pPr>
        <w:spacing w:after="120"/>
      </w:pPr>
    </w:p>
    <w:p w:rsidR="00894E51" w:rsidRPr="00665266" w:rsidRDefault="00894E51" w:rsidP="00696B9F">
      <w:pPr>
        <w:tabs>
          <w:tab w:val="left" w:pos="180"/>
        </w:tabs>
        <w:spacing w:after="120"/>
        <w:ind w:left="180" w:hanging="180"/>
        <w:rPr>
          <w:color w:val="000000"/>
          <w:sz w:val="16"/>
          <w:szCs w:val="16"/>
        </w:rPr>
      </w:pPr>
      <w:r w:rsidRPr="00665266">
        <w:rPr>
          <w:b/>
          <w:color w:val="000000"/>
          <w:sz w:val="18"/>
          <w:szCs w:val="18"/>
          <w:vertAlign w:val="superscript"/>
        </w:rPr>
        <w:t>1</w:t>
      </w:r>
      <w:r w:rsidRPr="00665266">
        <w:rPr>
          <w:b/>
          <w:color w:val="000000"/>
          <w:sz w:val="16"/>
          <w:szCs w:val="16"/>
        </w:rPr>
        <w:tab/>
        <w:t xml:space="preserve">Radios for Schools </w:t>
      </w:r>
      <w:r w:rsidR="006910D4" w:rsidRPr="00665266">
        <w:rPr>
          <w:b/>
          <w:color w:val="000000"/>
          <w:sz w:val="16"/>
          <w:szCs w:val="16"/>
        </w:rPr>
        <w:t>-</w:t>
      </w:r>
      <w:r w:rsidRPr="00665266">
        <w:rPr>
          <w:b/>
          <w:color w:val="000000"/>
          <w:sz w:val="16"/>
          <w:szCs w:val="16"/>
        </w:rPr>
        <w:t xml:space="preserve"> </w:t>
      </w:r>
      <w:r w:rsidRPr="00665266">
        <w:rPr>
          <w:color w:val="000000"/>
          <w:sz w:val="16"/>
          <w:szCs w:val="16"/>
        </w:rPr>
        <w:t xml:space="preserve">Grant awards for the purchase of radios at schools are </w:t>
      </w:r>
      <w:r w:rsidRPr="00665266">
        <w:rPr>
          <w:b/>
          <w:color w:val="000000"/>
          <w:sz w:val="16"/>
          <w:szCs w:val="16"/>
        </w:rPr>
        <w:t>allowable</w:t>
      </w:r>
      <w:r w:rsidRPr="00665266">
        <w:rPr>
          <w:color w:val="000000"/>
          <w:sz w:val="16"/>
          <w:szCs w:val="16"/>
        </w:rPr>
        <w:t xml:space="preserve"> under </w:t>
      </w:r>
      <w:r w:rsidR="006910D4" w:rsidRPr="00665266">
        <w:rPr>
          <w:color w:val="000000"/>
          <w:sz w:val="16"/>
          <w:szCs w:val="16"/>
        </w:rPr>
        <w:t>the current EMPG</w:t>
      </w:r>
      <w:r w:rsidRPr="00665266">
        <w:rPr>
          <w:color w:val="000000"/>
          <w:sz w:val="16"/>
          <w:szCs w:val="16"/>
        </w:rPr>
        <w:t xml:space="preserve"> program. The intent is to enhance communication between school officials and first responders</w:t>
      </w:r>
      <w:r w:rsidR="000113A4" w:rsidRPr="00665266">
        <w:rPr>
          <w:color w:val="000000"/>
          <w:sz w:val="16"/>
          <w:szCs w:val="16"/>
        </w:rPr>
        <w:t>.</w:t>
      </w:r>
      <w:r w:rsidR="002956CA" w:rsidRPr="00665266">
        <w:rPr>
          <w:color w:val="000000"/>
          <w:sz w:val="16"/>
          <w:szCs w:val="16"/>
        </w:rPr>
        <w:t xml:space="preserve"> </w:t>
      </w:r>
      <w:r w:rsidRPr="00665266">
        <w:rPr>
          <w:b/>
          <w:color w:val="000000"/>
          <w:sz w:val="16"/>
          <w:szCs w:val="16"/>
          <w:u w:val="single"/>
        </w:rPr>
        <w:t>Maximum award</w:t>
      </w:r>
      <w:r w:rsidRPr="00665266">
        <w:rPr>
          <w:b/>
          <w:color w:val="000000"/>
          <w:sz w:val="16"/>
          <w:szCs w:val="16"/>
        </w:rPr>
        <w:t>:</w:t>
      </w:r>
      <w:r w:rsidRPr="00665266">
        <w:rPr>
          <w:color w:val="000000"/>
          <w:sz w:val="16"/>
          <w:szCs w:val="16"/>
        </w:rPr>
        <w:t xml:space="preserve"> $5,000.00</w:t>
      </w:r>
    </w:p>
    <w:p w:rsidR="00894E51" w:rsidRPr="00665266" w:rsidRDefault="00894E51" w:rsidP="00696B9F">
      <w:pPr>
        <w:tabs>
          <w:tab w:val="left" w:pos="180"/>
        </w:tabs>
        <w:spacing w:after="120"/>
        <w:ind w:left="180" w:hanging="180"/>
        <w:rPr>
          <w:sz w:val="16"/>
          <w:szCs w:val="16"/>
        </w:rPr>
      </w:pPr>
      <w:r w:rsidRPr="00665266">
        <w:rPr>
          <w:b/>
          <w:color w:val="000000"/>
          <w:sz w:val="18"/>
          <w:szCs w:val="18"/>
          <w:vertAlign w:val="superscript"/>
        </w:rPr>
        <w:t>2</w:t>
      </w:r>
      <w:r w:rsidRPr="00665266">
        <w:rPr>
          <w:b/>
          <w:color w:val="000000"/>
          <w:sz w:val="16"/>
          <w:szCs w:val="16"/>
        </w:rPr>
        <w:tab/>
        <w:t xml:space="preserve">Generators </w:t>
      </w:r>
      <w:r w:rsidR="006910D4" w:rsidRPr="00665266">
        <w:rPr>
          <w:b/>
          <w:color w:val="000000"/>
          <w:sz w:val="16"/>
          <w:szCs w:val="16"/>
        </w:rPr>
        <w:t>-</w:t>
      </w:r>
      <w:r w:rsidRPr="00665266">
        <w:rPr>
          <w:b/>
          <w:color w:val="000000"/>
          <w:sz w:val="16"/>
          <w:szCs w:val="16"/>
        </w:rPr>
        <w:t xml:space="preserve"> </w:t>
      </w:r>
      <w:r w:rsidRPr="00665266">
        <w:rPr>
          <w:b/>
          <w:color w:val="C00000"/>
          <w:sz w:val="16"/>
          <w:szCs w:val="16"/>
        </w:rPr>
        <w:t>PRIORITY</w:t>
      </w:r>
      <w:r w:rsidRPr="00665266">
        <w:rPr>
          <w:color w:val="000000"/>
          <w:sz w:val="16"/>
          <w:szCs w:val="16"/>
        </w:rPr>
        <w:t xml:space="preserve"> will be given for projects that provide emergency power to p</w:t>
      </w:r>
      <w:r w:rsidR="00DD7144" w:rsidRPr="00665266">
        <w:rPr>
          <w:color w:val="000000"/>
          <w:sz w:val="16"/>
          <w:szCs w:val="16"/>
        </w:rPr>
        <w:t>rimary shelters and primary EOC</w:t>
      </w:r>
      <w:r w:rsidRPr="00665266">
        <w:rPr>
          <w:color w:val="000000"/>
          <w:sz w:val="16"/>
          <w:szCs w:val="16"/>
        </w:rPr>
        <w:t xml:space="preserve">s that are outlined in </w:t>
      </w:r>
      <w:r w:rsidR="00DD7144" w:rsidRPr="00665266">
        <w:rPr>
          <w:color w:val="000000"/>
          <w:sz w:val="16"/>
          <w:szCs w:val="16"/>
        </w:rPr>
        <w:t xml:space="preserve">the </w:t>
      </w:r>
      <w:r w:rsidRPr="00665266">
        <w:rPr>
          <w:color w:val="000000"/>
          <w:sz w:val="16"/>
          <w:szCs w:val="16"/>
        </w:rPr>
        <w:t>community’s approved LEOP.</w:t>
      </w:r>
      <w:r w:rsidRPr="00665266">
        <w:rPr>
          <w:sz w:val="16"/>
          <w:szCs w:val="16"/>
        </w:rPr>
        <w:t xml:space="preserve"> Generators are also considered a </w:t>
      </w:r>
      <w:r w:rsidRPr="00665266">
        <w:rPr>
          <w:b/>
          <w:color w:val="C00000"/>
          <w:sz w:val="16"/>
          <w:szCs w:val="16"/>
        </w:rPr>
        <w:t>PRIORITY</w:t>
      </w:r>
      <w:r w:rsidRPr="00665266">
        <w:rPr>
          <w:sz w:val="16"/>
          <w:szCs w:val="16"/>
        </w:rPr>
        <w:t xml:space="preserve"> for drinking/waste water facilities, critical communication structures (i.e., towers with communication equipment), if communication is used for all-hazards emergency management.</w:t>
      </w:r>
      <w:r w:rsidR="002956CA" w:rsidRPr="00665266">
        <w:rPr>
          <w:sz w:val="16"/>
          <w:szCs w:val="16"/>
        </w:rPr>
        <w:t xml:space="preserve"> </w:t>
      </w:r>
      <w:r w:rsidRPr="00665266">
        <w:rPr>
          <w:b/>
          <w:sz w:val="16"/>
          <w:szCs w:val="16"/>
          <w:u w:val="single"/>
        </w:rPr>
        <w:t>Maximum award</w:t>
      </w:r>
      <w:r w:rsidRPr="00665266">
        <w:rPr>
          <w:b/>
          <w:sz w:val="16"/>
          <w:szCs w:val="16"/>
        </w:rPr>
        <w:t>:</w:t>
      </w:r>
      <w:r w:rsidR="00DD7144" w:rsidRPr="00665266">
        <w:rPr>
          <w:sz w:val="16"/>
          <w:szCs w:val="16"/>
        </w:rPr>
        <w:t xml:space="preserve"> $75,000.00</w:t>
      </w:r>
    </w:p>
    <w:p w:rsidR="006910D4" w:rsidRPr="00665266" w:rsidRDefault="006910D4" w:rsidP="00696B9F">
      <w:pPr>
        <w:tabs>
          <w:tab w:val="left" w:pos="180"/>
        </w:tabs>
        <w:spacing w:after="120"/>
        <w:ind w:left="180" w:hanging="180"/>
        <w:rPr>
          <w:color w:val="000000"/>
          <w:sz w:val="16"/>
          <w:szCs w:val="16"/>
        </w:rPr>
      </w:pPr>
      <w:r w:rsidRPr="00665266">
        <w:rPr>
          <w:b/>
          <w:color w:val="000000"/>
          <w:sz w:val="18"/>
          <w:szCs w:val="18"/>
          <w:vertAlign w:val="superscript"/>
        </w:rPr>
        <w:t>3</w:t>
      </w:r>
      <w:r w:rsidRPr="00665266">
        <w:rPr>
          <w:b/>
          <w:color w:val="000000"/>
          <w:sz w:val="18"/>
          <w:szCs w:val="18"/>
          <w:vertAlign w:val="superscript"/>
        </w:rPr>
        <w:tab/>
      </w:r>
      <w:r w:rsidRPr="00665266">
        <w:rPr>
          <w:b/>
          <w:color w:val="000000"/>
          <w:sz w:val="16"/>
          <w:szCs w:val="16"/>
        </w:rPr>
        <w:t>EOC Equipment</w:t>
      </w:r>
      <w:r w:rsidRPr="00665266">
        <w:rPr>
          <w:color w:val="000000"/>
          <w:sz w:val="16"/>
          <w:szCs w:val="16"/>
        </w:rPr>
        <w:t xml:space="preserve"> - </w:t>
      </w:r>
      <w:r w:rsidRPr="00665266">
        <w:rPr>
          <w:b/>
          <w:color w:val="C00000"/>
          <w:sz w:val="16"/>
          <w:szCs w:val="16"/>
        </w:rPr>
        <w:t>PRIORITY</w:t>
      </w:r>
      <w:r w:rsidRPr="00665266">
        <w:rPr>
          <w:color w:val="000000"/>
          <w:sz w:val="16"/>
          <w:szCs w:val="16"/>
        </w:rPr>
        <w:t xml:space="preserve"> will be given for projects that provide equipment to enhance/support the capabilities of PRIMARY Emergency Operations Centers (EOCs) that are o</w:t>
      </w:r>
      <w:r w:rsidR="00DD7144" w:rsidRPr="00665266">
        <w:rPr>
          <w:color w:val="000000"/>
          <w:sz w:val="16"/>
          <w:szCs w:val="16"/>
        </w:rPr>
        <w:t xml:space="preserve">utlined in community’s up-to-date </w:t>
      </w:r>
      <w:r w:rsidRPr="00665266">
        <w:rPr>
          <w:color w:val="000000"/>
          <w:sz w:val="16"/>
          <w:szCs w:val="16"/>
        </w:rPr>
        <w:t>LEOP</w:t>
      </w:r>
      <w:r w:rsidR="000113A4" w:rsidRPr="00665266">
        <w:rPr>
          <w:color w:val="000000"/>
          <w:sz w:val="16"/>
          <w:szCs w:val="16"/>
        </w:rPr>
        <w:t>:</w:t>
      </w:r>
      <w:r w:rsidRPr="00665266">
        <w:rPr>
          <w:color w:val="000000"/>
          <w:sz w:val="16"/>
          <w:szCs w:val="16"/>
        </w:rPr>
        <w:t xml:space="preserve"> </w:t>
      </w:r>
      <w:r w:rsidRPr="00665266">
        <w:rPr>
          <w:b/>
          <w:color w:val="000000"/>
          <w:sz w:val="16"/>
          <w:szCs w:val="16"/>
          <w:u w:val="single"/>
        </w:rPr>
        <w:t>Maximum award:</w:t>
      </w:r>
      <w:r w:rsidRPr="00665266">
        <w:rPr>
          <w:color w:val="000000"/>
          <w:sz w:val="16"/>
          <w:szCs w:val="16"/>
        </w:rPr>
        <w:t xml:space="preserve"> $</w:t>
      </w:r>
      <w:r w:rsidR="000113A4" w:rsidRPr="00665266">
        <w:rPr>
          <w:color w:val="000000"/>
          <w:sz w:val="16"/>
          <w:szCs w:val="16"/>
        </w:rPr>
        <w:t>40,000</w:t>
      </w:r>
      <w:r w:rsidRPr="00665266">
        <w:rPr>
          <w:color w:val="000000"/>
          <w:sz w:val="16"/>
          <w:szCs w:val="16"/>
        </w:rPr>
        <w:t xml:space="preserve"> </w:t>
      </w:r>
    </w:p>
    <w:p w:rsidR="001600B4" w:rsidRPr="00665266" w:rsidRDefault="001600B4" w:rsidP="00152460">
      <w:pPr>
        <w:pStyle w:val="Heading2"/>
      </w:pPr>
      <w:bookmarkStart w:id="42" w:name="_Toc480368208"/>
      <w:r w:rsidRPr="00665266">
        <w:lastRenderedPageBreak/>
        <w:t>D.</w:t>
      </w:r>
      <w:r w:rsidR="002956CA" w:rsidRPr="00665266">
        <w:t xml:space="preserve"> </w:t>
      </w:r>
      <w:r w:rsidRPr="00665266">
        <w:t>Maintenance and Sustainment</w:t>
      </w:r>
      <w:bookmarkEnd w:id="42"/>
    </w:p>
    <w:p w:rsidR="0036616A" w:rsidRPr="00665266" w:rsidRDefault="003F4E25" w:rsidP="00F75E27">
      <w:pPr>
        <w:autoSpaceDE w:val="0"/>
        <w:autoSpaceDN w:val="0"/>
        <w:adjustRightInd w:val="0"/>
        <w:spacing w:after="120"/>
        <w:rPr>
          <w:color w:val="000000"/>
        </w:rPr>
      </w:pPr>
      <w:r w:rsidRPr="00665266">
        <w:rPr>
          <w:color w:val="000000"/>
        </w:rPr>
        <w:t>The use of EMPG Program funds for maintenance contracts, warranties, repair or replacement costs, upgrades, and user fees are allowable under all active and future grant awards</w:t>
      </w:r>
      <w:r w:rsidR="00E026B5" w:rsidRPr="00665266">
        <w:rPr>
          <w:color w:val="000000"/>
        </w:rPr>
        <w:t>.</w:t>
      </w:r>
      <w:r w:rsidR="002956CA" w:rsidRPr="00665266">
        <w:rPr>
          <w:color w:val="000000"/>
        </w:rPr>
        <w:t xml:space="preserve"> </w:t>
      </w:r>
    </w:p>
    <w:p w:rsidR="003F4E25" w:rsidRPr="00665266" w:rsidRDefault="003F4E25" w:rsidP="00F75E27">
      <w:pPr>
        <w:autoSpaceDE w:val="0"/>
        <w:autoSpaceDN w:val="0"/>
        <w:adjustRightInd w:val="0"/>
        <w:spacing w:after="120"/>
        <w:rPr>
          <w:color w:val="000000"/>
        </w:rPr>
      </w:pPr>
      <w:r w:rsidRPr="00665266">
        <w:rPr>
          <w:color w:val="000000"/>
        </w:rPr>
        <w:t xml:space="preserve">Maintenance contracts and warranties, repair and replacement costs, upgrades, and/or </w:t>
      </w:r>
      <w:r w:rsidR="00E026B5" w:rsidRPr="00665266">
        <w:rPr>
          <w:color w:val="000000"/>
        </w:rPr>
        <w:t>user fees for equipment that were</w:t>
      </w:r>
      <w:r w:rsidRPr="00665266">
        <w:rPr>
          <w:color w:val="000000"/>
        </w:rPr>
        <w:t xml:space="preserve"> not original</w:t>
      </w:r>
      <w:r w:rsidR="00E026B5" w:rsidRPr="00665266">
        <w:rPr>
          <w:color w:val="000000"/>
        </w:rPr>
        <w:t xml:space="preserve">ly purchased with </w:t>
      </w:r>
      <w:r w:rsidRPr="00665266">
        <w:rPr>
          <w:color w:val="000000"/>
        </w:rPr>
        <w:t xml:space="preserve">EMPG </w:t>
      </w:r>
      <w:r w:rsidR="00E026B5" w:rsidRPr="00665266">
        <w:rPr>
          <w:color w:val="000000"/>
        </w:rPr>
        <w:t xml:space="preserve">Program </w:t>
      </w:r>
      <w:r w:rsidRPr="00665266">
        <w:rPr>
          <w:color w:val="000000"/>
        </w:rPr>
        <w:t>funding may not be subsequen</w:t>
      </w:r>
      <w:r w:rsidR="00E026B5" w:rsidRPr="00665266">
        <w:rPr>
          <w:color w:val="000000"/>
        </w:rPr>
        <w:t xml:space="preserve">tly paid for with </w:t>
      </w:r>
      <w:r w:rsidRPr="00665266">
        <w:rPr>
          <w:color w:val="000000"/>
        </w:rPr>
        <w:t xml:space="preserve">EMPG </w:t>
      </w:r>
      <w:r w:rsidR="00E026B5" w:rsidRPr="00665266">
        <w:rPr>
          <w:color w:val="000000"/>
        </w:rPr>
        <w:t>Progra</w:t>
      </w:r>
      <w:r w:rsidR="0020149F" w:rsidRPr="00665266">
        <w:rPr>
          <w:color w:val="000000"/>
        </w:rPr>
        <w:t>m</w:t>
      </w:r>
      <w:r w:rsidR="00E026B5" w:rsidRPr="00665266">
        <w:rPr>
          <w:color w:val="000000"/>
        </w:rPr>
        <w:t xml:space="preserve"> </w:t>
      </w:r>
      <w:r w:rsidRPr="00665266">
        <w:rPr>
          <w:color w:val="000000"/>
        </w:rPr>
        <w:t>funding.</w:t>
      </w:r>
    </w:p>
    <w:p w:rsidR="003F4E25" w:rsidRPr="00665266" w:rsidRDefault="003F4E25" w:rsidP="00A02029">
      <w:r w:rsidRPr="00665266">
        <w:t>Maintenance and Sustainment may include:</w:t>
      </w:r>
    </w:p>
    <w:p w:rsidR="003F4E25" w:rsidRPr="00665266" w:rsidRDefault="003F4E25" w:rsidP="00946C74">
      <w:pPr>
        <w:numPr>
          <w:ilvl w:val="0"/>
          <w:numId w:val="10"/>
        </w:numPr>
        <w:tabs>
          <w:tab w:val="clear" w:pos="2160"/>
          <w:tab w:val="num" w:pos="-7560"/>
        </w:tabs>
        <w:autoSpaceDE w:val="0"/>
        <w:autoSpaceDN w:val="0"/>
        <w:adjustRightInd w:val="0"/>
        <w:spacing w:after="120"/>
        <w:ind w:left="360"/>
        <w:rPr>
          <w:color w:val="000000"/>
        </w:rPr>
      </w:pPr>
      <w:r w:rsidRPr="00665266">
        <w:rPr>
          <w:b/>
          <w:bCs/>
          <w:color w:val="000000"/>
        </w:rPr>
        <w:t xml:space="preserve">Maintenance </w:t>
      </w:r>
      <w:r w:rsidR="00F84A5A" w:rsidRPr="00665266">
        <w:rPr>
          <w:b/>
          <w:bCs/>
          <w:color w:val="000000"/>
        </w:rPr>
        <w:t xml:space="preserve">Agreements, Service </w:t>
      </w:r>
      <w:r w:rsidRPr="00665266">
        <w:rPr>
          <w:b/>
          <w:bCs/>
          <w:color w:val="000000"/>
        </w:rPr>
        <w:t xml:space="preserve">Contracts and </w:t>
      </w:r>
      <w:r w:rsidR="00F84A5A" w:rsidRPr="00665266">
        <w:rPr>
          <w:b/>
          <w:bCs/>
          <w:color w:val="000000"/>
        </w:rPr>
        <w:t xml:space="preserve">Extended </w:t>
      </w:r>
      <w:r w:rsidRPr="00665266">
        <w:rPr>
          <w:b/>
          <w:bCs/>
          <w:color w:val="000000"/>
        </w:rPr>
        <w:t>Warranties</w:t>
      </w:r>
      <w:r w:rsidRPr="00665266">
        <w:rPr>
          <w:bCs/>
          <w:color w:val="000000"/>
        </w:rPr>
        <w:t xml:space="preserve"> - </w:t>
      </w:r>
      <w:r w:rsidRPr="00665266">
        <w:rPr>
          <w:color w:val="000000"/>
        </w:rPr>
        <w:t xml:space="preserve">To increase the useful life of the equipment, maintenance </w:t>
      </w:r>
      <w:r w:rsidR="00F84A5A" w:rsidRPr="00665266">
        <w:rPr>
          <w:color w:val="000000"/>
        </w:rPr>
        <w:t xml:space="preserve">agreements, service </w:t>
      </w:r>
      <w:r w:rsidRPr="00665266">
        <w:rPr>
          <w:color w:val="000000"/>
        </w:rPr>
        <w:t xml:space="preserve">contracts and </w:t>
      </w:r>
      <w:r w:rsidR="00F84A5A" w:rsidRPr="00665266">
        <w:rPr>
          <w:color w:val="000000"/>
        </w:rPr>
        <w:t xml:space="preserve">extended </w:t>
      </w:r>
      <w:r w:rsidRPr="00665266">
        <w:rPr>
          <w:color w:val="000000"/>
        </w:rPr>
        <w:t xml:space="preserve">warranties may be purchased using grant funding from one </w:t>
      </w:r>
      <w:r w:rsidR="006910D4" w:rsidRPr="00665266">
        <w:rPr>
          <w:color w:val="000000"/>
        </w:rPr>
        <w:t>f</w:t>
      </w:r>
      <w:r w:rsidRPr="00665266">
        <w:rPr>
          <w:color w:val="000000"/>
        </w:rPr>
        <w:t xml:space="preserve">iscal </w:t>
      </w:r>
      <w:r w:rsidR="006910D4" w:rsidRPr="00665266">
        <w:rPr>
          <w:color w:val="000000"/>
        </w:rPr>
        <w:t>y</w:t>
      </w:r>
      <w:r w:rsidRPr="00665266">
        <w:rPr>
          <w:color w:val="000000"/>
        </w:rPr>
        <w:t xml:space="preserve">ear to cover equipment purchased with funding from a different </w:t>
      </w:r>
      <w:r w:rsidR="006910D4" w:rsidRPr="00665266">
        <w:rPr>
          <w:color w:val="000000"/>
        </w:rPr>
        <w:t>f</w:t>
      </w:r>
      <w:r w:rsidRPr="00665266">
        <w:rPr>
          <w:color w:val="000000"/>
        </w:rPr>
        <w:t xml:space="preserve">iscal </w:t>
      </w:r>
      <w:r w:rsidR="006910D4" w:rsidRPr="00665266">
        <w:rPr>
          <w:color w:val="000000"/>
        </w:rPr>
        <w:t>y</w:t>
      </w:r>
      <w:r w:rsidRPr="00665266">
        <w:rPr>
          <w:color w:val="000000"/>
        </w:rPr>
        <w:t xml:space="preserve">ear. The use of </w:t>
      </w:r>
      <w:r w:rsidR="006910D4" w:rsidRPr="00665266">
        <w:rPr>
          <w:color w:val="000000"/>
        </w:rPr>
        <w:t xml:space="preserve">EMPG </w:t>
      </w:r>
      <w:r w:rsidRPr="00665266">
        <w:rPr>
          <w:color w:val="000000"/>
        </w:rPr>
        <w:t xml:space="preserve">funding for the purchase of maintenance contracts and warranties </w:t>
      </w:r>
      <w:r w:rsidRPr="00471EBB">
        <w:rPr>
          <w:b/>
          <w:i/>
          <w:color w:val="000000"/>
          <w:u w:val="single"/>
        </w:rPr>
        <w:t>must</w:t>
      </w:r>
      <w:r w:rsidRPr="00665266">
        <w:rPr>
          <w:color w:val="000000"/>
        </w:rPr>
        <w:t xml:space="preserve"> meet the following conditions: </w:t>
      </w:r>
    </w:p>
    <w:p w:rsidR="003F4E25" w:rsidRPr="00665266" w:rsidRDefault="003F4E25" w:rsidP="00F75E27">
      <w:pPr>
        <w:numPr>
          <w:ilvl w:val="0"/>
          <w:numId w:val="11"/>
        </w:numPr>
        <w:tabs>
          <w:tab w:val="clear" w:pos="2160"/>
          <w:tab w:val="num" w:pos="1080"/>
        </w:tabs>
        <w:autoSpaceDE w:val="0"/>
        <w:autoSpaceDN w:val="0"/>
        <w:adjustRightInd w:val="0"/>
        <w:spacing w:after="120"/>
        <w:ind w:left="1080"/>
        <w:rPr>
          <w:color w:val="000000"/>
        </w:rPr>
      </w:pPr>
      <w:r w:rsidRPr="00665266">
        <w:rPr>
          <w:color w:val="000000"/>
        </w:rPr>
        <w:t xml:space="preserve">Maintenance contracts and warranties may only be purchased for equipment that has been purchased using FEMA preparedness grant funding. </w:t>
      </w:r>
    </w:p>
    <w:p w:rsidR="003F4E25" w:rsidRPr="00665266" w:rsidRDefault="003F4E25" w:rsidP="00F75E27">
      <w:pPr>
        <w:numPr>
          <w:ilvl w:val="0"/>
          <w:numId w:val="11"/>
        </w:numPr>
        <w:tabs>
          <w:tab w:val="clear" w:pos="2160"/>
          <w:tab w:val="num" w:pos="1080"/>
        </w:tabs>
        <w:autoSpaceDE w:val="0"/>
        <w:autoSpaceDN w:val="0"/>
        <w:adjustRightInd w:val="0"/>
        <w:spacing w:after="120"/>
        <w:ind w:left="1080"/>
        <w:rPr>
          <w:color w:val="000000"/>
        </w:rPr>
      </w:pPr>
      <w:r w:rsidRPr="00665266">
        <w:rPr>
          <w:color w:val="000000"/>
        </w:rPr>
        <w:t xml:space="preserve">Maintenance contracts and warranties </w:t>
      </w:r>
      <w:r w:rsidRPr="00471EBB">
        <w:rPr>
          <w:b/>
          <w:i/>
          <w:color w:val="000000"/>
          <w:u w:val="single"/>
        </w:rPr>
        <w:t>must</w:t>
      </w:r>
      <w:r w:rsidRPr="00665266">
        <w:rPr>
          <w:color w:val="000000"/>
        </w:rPr>
        <w:t xml:space="preserve"> be purchased using funds from the same grant program used to purchase the original equipment. </w:t>
      </w:r>
    </w:p>
    <w:p w:rsidR="003F4E25" w:rsidRPr="00665266" w:rsidRDefault="003F4E25" w:rsidP="00F75E27">
      <w:pPr>
        <w:numPr>
          <w:ilvl w:val="0"/>
          <w:numId w:val="11"/>
        </w:numPr>
        <w:tabs>
          <w:tab w:val="clear" w:pos="2160"/>
          <w:tab w:val="num" w:pos="1080"/>
        </w:tabs>
        <w:autoSpaceDE w:val="0"/>
        <w:autoSpaceDN w:val="0"/>
        <w:adjustRightInd w:val="0"/>
        <w:spacing w:after="120"/>
        <w:ind w:left="1080"/>
        <w:rPr>
          <w:color w:val="000000"/>
        </w:rPr>
      </w:pPr>
      <w:r w:rsidRPr="00665266">
        <w:rPr>
          <w:color w:val="000000"/>
        </w:rPr>
        <w:t xml:space="preserve">The term of the Maintenance Contract shall </w:t>
      </w:r>
      <w:r w:rsidR="00475D17">
        <w:rPr>
          <w:b/>
          <w:i/>
          <w:color w:val="000000"/>
          <w:u w:val="single"/>
        </w:rPr>
        <w:t>NOT</w:t>
      </w:r>
      <w:r w:rsidRPr="00665266">
        <w:rPr>
          <w:color w:val="000000"/>
        </w:rPr>
        <w:t xml:space="preserve"> exceed the period of performance of the grant to which the maintenance contract is being charged. </w:t>
      </w:r>
    </w:p>
    <w:p w:rsidR="003F4E25" w:rsidRPr="00665266" w:rsidRDefault="003F4E25" w:rsidP="00F75E27">
      <w:pPr>
        <w:numPr>
          <w:ilvl w:val="0"/>
          <w:numId w:val="14"/>
        </w:numPr>
        <w:tabs>
          <w:tab w:val="clear" w:pos="2160"/>
          <w:tab w:val="num" w:pos="1080"/>
        </w:tabs>
        <w:autoSpaceDE w:val="0"/>
        <w:autoSpaceDN w:val="0"/>
        <w:adjustRightInd w:val="0"/>
        <w:spacing w:after="120"/>
        <w:ind w:left="1080"/>
        <w:rPr>
          <w:color w:val="000000"/>
        </w:rPr>
      </w:pPr>
      <w:r w:rsidRPr="00665266">
        <w:rPr>
          <w:color w:val="000000"/>
        </w:rPr>
        <w:t xml:space="preserve">Warranties are allowed to be purchased up front and </w:t>
      </w:r>
      <w:r w:rsidRPr="00665266">
        <w:rPr>
          <w:b/>
          <w:i/>
          <w:color w:val="000000"/>
          <w:u w:val="single"/>
        </w:rPr>
        <w:t>can exceed</w:t>
      </w:r>
      <w:r w:rsidRPr="00665266">
        <w:rPr>
          <w:color w:val="000000"/>
        </w:rPr>
        <w:t xml:space="preserve"> the grant’s period of performance.</w:t>
      </w:r>
    </w:p>
    <w:p w:rsidR="003F4E25" w:rsidRPr="00665266" w:rsidRDefault="003F4E25" w:rsidP="00F75E27">
      <w:pPr>
        <w:numPr>
          <w:ilvl w:val="0"/>
          <w:numId w:val="12"/>
        </w:numPr>
        <w:tabs>
          <w:tab w:val="clear" w:pos="2160"/>
          <w:tab w:val="num" w:pos="360"/>
        </w:tabs>
        <w:autoSpaceDE w:val="0"/>
        <w:autoSpaceDN w:val="0"/>
        <w:adjustRightInd w:val="0"/>
        <w:spacing w:after="120"/>
        <w:ind w:left="360"/>
        <w:rPr>
          <w:color w:val="000000"/>
        </w:rPr>
      </w:pPr>
      <w:r w:rsidRPr="00665266">
        <w:rPr>
          <w:b/>
          <w:bCs/>
          <w:color w:val="000000"/>
        </w:rPr>
        <w:t>Repair and Replacement Costs</w:t>
      </w:r>
      <w:r w:rsidRPr="00665266">
        <w:rPr>
          <w:bCs/>
          <w:color w:val="000000"/>
        </w:rPr>
        <w:t xml:space="preserve"> - </w:t>
      </w:r>
      <w:r w:rsidRPr="00665266">
        <w:rPr>
          <w:color w:val="000000"/>
        </w:rPr>
        <w:t xml:space="preserve">The cost of repair and replacement parts for equipment purchased using </w:t>
      </w:r>
      <w:r w:rsidR="006910D4" w:rsidRPr="00665266">
        <w:rPr>
          <w:color w:val="000000"/>
        </w:rPr>
        <w:t>EMPG</w:t>
      </w:r>
      <w:r w:rsidRPr="00665266">
        <w:rPr>
          <w:color w:val="000000"/>
        </w:rPr>
        <w:t xml:space="preserve"> funding is an allowable expense. </w:t>
      </w:r>
    </w:p>
    <w:p w:rsidR="003F4E25" w:rsidRPr="00665266" w:rsidRDefault="003F4E25" w:rsidP="00F75E27">
      <w:pPr>
        <w:numPr>
          <w:ilvl w:val="1"/>
          <w:numId w:val="12"/>
        </w:numPr>
        <w:tabs>
          <w:tab w:val="clear" w:pos="1440"/>
          <w:tab w:val="num" w:pos="1080"/>
        </w:tabs>
        <w:autoSpaceDE w:val="0"/>
        <w:autoSpaceDN w:val="0"/>
        <w:adjustRightInd w:val="0"/>
        <w:spacing w:after="120"/>
        <w:ind w:left="1080"/>
        <w:rPr>
          <w:color w:val="000000"/>
        </w:rPr>
      </w:pPr>
      <w:r w:rsidRPr="00665266">
        <w:rPr>
          <w:color w:val="000000"/>
        </w:rPr>
        <w:t xml:space="preserve">Repair and replacement parts may only be purchased for equipment that has been purchased using FEMA preparedness grant funding. </w:t>
      </w:r>
    </w:p>
    <w:p w:rsidR="003F4E25" w:rsidRPr="00665266" w:rsidRDefault="003F4E25" w:rsidP="00F75E27">
      <w:pPr>
        <w:numPr>
          <w:ilvl w:val="4"/>
          <w:numId w:val="12"/>
        </w:numPr>
        <w:tabs>
          <w:tab w:val="num" w:pos="1080"/>
        </w:tabs>
        <w:autoSpaceDE w:val="0"/>
        <w:autoSpaceDN w:val="0"/>
        <w:adjustRightInd w:val="0"/>
        <w:spacing w:after="120"/>
        <w:ind w:left="1080"/>
        <w:rPr>
          <w:b/>
          <w:bCs/>
          <w:i/>
          <w:iCs/>
          <w:color w:val="000000"/>
        </w:rPr>
      </w:pPr>
      <w:r w:rsidRPr="00665266">
        <w:rPr>
          <w:color w:val="000000"/>
        </w:rPr>
        <w:t xml:space="preserve">To avoid supplementing Congressional appropriations for specific programs, repair and replacement parts </w:t>
      </w:r>
      <w:r w:rsidRPr="00471EBB">
        <w:rPr>
          <w:b/>
          <w:i/>
          <w:color w:val="000000"/>
          <w:u w:val="single"/>
        </w:rPr>
        <w:t>must</w:t>
      </w:r>
      <w:r w:rsidRPr="00665266">
        <w:rPr>
          <w:color w:val="000000"/>
        </w:rPr>
        <w:t xml:space="preserve"> be purchased using the same grant program used to purchase the original equipment.</w:t>
      </w:r>
    </w:p>
    <w:p w:rsidR="0036616A" w:rsidRPr="00665266" w:rsidRDefault="003F4E25" w:rsidP="0036616A">
      <w:pPr>
        <w:numPr>
          <w:ilvl w:val="7"/>
          <w:numId w:val="12"/>
        </w:numPr>
        <w:tabs>
          <w:tab w:val="clear" w:pos="5760"/>
        </w:tabs>
        <w:autoSpaceDE w:val="0"/>
        <w:autoSpaceDN w:val="0"/>
        <w:adjustRightInd w:val="0"/>
        <w:spacing w:after="120"/>
        <w:ind w:left="360"/>
        <w:rPr>
          <w:color w:val="000000"/>
        </w:rPr>
      </w:pPr>
      <w:r w:rsidRPr="00665266">
        <w:rPr>
          <w:b/>
          <w:bCs/>
          <w:color w:val="000000"/>
        </w:rPr>
        <w:t>Upgrades</w:t>
      </w:r>
      <w:r w:rsidRPr="00665266">
        <w:rPr>
          <w:bCs/>
          <w:color w:val="000000"/>
        </w:rPr>
        <w:t xml:space="preserve"> - </w:t>
      </w:r>
      <w:r w:rsidR="006910D4" w:rsidRPr="00665266">
        <w:rPr>
          <w:color w:val="000000"/>
        </w:rPr>
        <w:t>EMPG</w:t>
      </w:r>
      <w:r w:rsidRPr="00665266">
        <w:rPr>
          <w:color w:val="000000"/>
        </w:rPr>
        <w:t xml:space="preserve"> funding may be used to upgrade previously purchased allowable equipment. For example, if the </w:t>
      </w:r>
      <w:r w:rsidR="000E1DF5">
        <w:rPr>
          <w:color w:val="000000"/>
        </w:rPr>
        <w:t>Subrecipient</w:t>
      </w:r>
      <w:r w:rsidRPr="00665266">
        <w:rPr>
          <w:color w:val="000000"/>
        </w:rPr>
        <w:t xml:space="preserve"> purchased risk management software with EMPG Program funds in 201</w:t>
      </w:r>
      <w:r w:rsidR="006910D4" w:rsidRPr="00665266">
        <w:rPr>
          <w:color w:val="000000"/>
        </w:rPr>
        <w:t>3</w:t>
      </w:r>
      <w:r w:rsidRPr="00665266">
        <w:rPr>
          <w:color w:val="000000"/>
        </w:rPr>
        <w:t xml:space="preserve"> and would like to use 201</w:t>
      </w:r>
      <w:r w:rsidR="006910D4" w:rsidRPr="00665266">
        <w:rPr>
          <w:color w:val="000000"/>
        </w:rPr>
        <w:t>6</w:t>
      </w:r>
      <w:r w:rsidRPr="00665266">
        <w:rPr>
          <w:color w:val="000000"/>
        </w:rPr>
        <w:t xml:space="preserve"> grant funding to upgrade the software, this is allowable. </w:t>
      </w:r>
    </w:p>
    <w:p w:rsidR="0036616A" w:rsidRPr="00665266" w:rsidRDefault="003F4E25" w:rsidP="0036616A">
      <w:pPr>
        <w:numPr>
          <w:ilvl w:val="1"/>
          <w:numId w:val="12"/>
        </w:numPr>
        <w:tabs>
          <w:tab w:val="clear" w:pos="1440"/>
        </w:tabs>
        <w:autoSpaceDE w:val="0"/>
        <w:autoSpaceDN w:val="0"/>
        <w:adjustRightInd w:val="0"/>
        <w:spacing w:after="120"/>
        <w:ind w:left="1080"/>
        <w:rPr>
          <w:color w:val="000000"/>
        </w:rPr>
      </w:pPr>
      <w:r w:rsidRPr="00665266">
        <w:rPr>
          <w:color w:val="000000"/>
        </w:rPr>
        <w:t xml:space="preserve">Upgrades may only be purchased for equipment that has been purchased using FEMA preparedness grant funding. </w:t>
      </w:r>
    </w:p>
    <w:p w:rsidR="003F4E25" w:rsidRPr="00665266" w:rsidRDefault="003F4E25" w:rsidP="0036616A">
      <w:pPr>
        <w:numPr>
          <w:ilvl w:val="1"/>
          <w:numId w:val="12"/>
        </w:numPr>
        <w:tabs>
          <w:tab w:val="clear" w:pos="1440"/>
        </w:tabs>
        <w:autoSpaceDE w:val="0"/>
        <w:autoSpaceDN w:val="0"/>
        <w:adjustRightInd w:val="0"/>
        <w:spacing w:after="120"/>
        <w:ind w:left="1080"/>
        <w:rPr>
          <w:color w:val="000000"/>
        </w:rPr>
      </w:pPr>
      <w:r w:rsidRPr="00665266">
        <w:rPr>
          <w:color w:val="000000"/>
        </w:rPr>
        <w:t xml:space="preserve">To avoid supplementing Congressional appropriations for specific programs, upgrades </w:t>
      </w:r>
      <w:r w:rsidRPr="00471EBB">
        <w:rPr>
          <w:b/>
          <w:i/>
          <w:color w:val="000000"/>
          <w:u w:val="single"/>
        </w:rPr>
        <w:t>must</w:t>
      </w:r>
      <w:r w:rsidRPr="00665266">
        <w:rPr>
          <w:color w:val="000000"/>
        </w:rPr>
        <w:t xml:space="preserve"> be purchased using the same grant program used to purchase the original equipment. </w:t>
      </w:r>
    </w:p>
    <w:p w:rsidR="003F4E25" w:rsidRPr="00665266" w:rsidRDefault="003F4E25" w:rsidP="00F75E27">
      <w:pPr>
        <w:numPr>
          <w:ilvl w:val="0"/>
          <w:numId w:val="13"/>
        </w:numPr>
        <w:tabs>
          <w:tab w:val="clear" w:pos="2160"/>
          <w:tab w:val="num" w:pos="360"/>
        </w:tabs>
        <w:autoSpaceDE w:val="0"/>
        <w:autoSpaceDN w:val="0"/>
        <w:adjustRightInd w:val="0"/>
        <w:spacing w:after="120"/>
        <w:ind w:left="360"/>
        <w:rPr>
          <w:color w:val="000000"/>
        </w:rPr>
      </w:pPr>
      <w:r w:rsidRPr="00665266">
        <w:rPr>
          <w:b/>
          <w:bCs/>
          <w:color w:val="000000"/>
        </w:rPr>
        <w:lastRenderedPageBreak/>
        <w:t>User fees</w:t>
      </w:r>
      <w:r w:rsidRPr="00665266">
        <w:rPr>
          <w:bCs/>
          <w:color w:val="000000"/>
        </w:rPr>
        <w:t xml:space="preserve"> - </w:t>
      </w:r>
      <w:r w:rsidRPr="00665266">
        <w:rPr>
          <w:color w:val="000000"/>
        </w:rPr>
        <w:t xml:space="preserve">User fees are viewed as costs for specific services required to maintain and provide continued operation of equipment or systems. An example would be the recurring service fees associated with handheld </w:t>
      </w:r>
      <w:r w:rsidR="0015338E" w:rsidRPr="00665266">
        <w:rPr>
          <w:color w:val="000000"/>
        </w:rPr>
        <w:t>radios.</w:t>
      </w:r>
    </w:p>
    <w:p w:rsidR="003F4E25" w:rsidRPr="00665266" w:rsidRDefault="003F4E25" w:rsidP="00F75E27">
      <w:pPr>
        <w:numPr>
          <w:ilvl w:val="1"/>
          <w:numId w:val="13"/>
        </w:numPr>
        <w:tabs>
          <w:tab w:val="clear" w:pos="1440"/>
          <w:tab w:val="num" w:pos="1080"/>
        </w:tabs>
        <w:autoSpaceDE w:val="0"/>
        <w:autoSpaceDN w:val="0"/>
        <w:adjustRightInd w:val="0"/>
        <w:spacing w:after="120"/>
        <w:ind w:left="1080"/>
        <w:rPr>
          <w:color w:val="000000"/>
        </w:rPr>
      </w:pPr>
      <w:r w:rsidRPr="00665266">
        <w:rPr>
          <w:color w:val="000000"/>
        </w:rPr>
        <w:t>User fees may only be paid for equipment that has been purchased using FEMA preparedness grant funding</w:t>
      </w:r>
      <w:r w:rsidR="0015338E" w:rsidRPr="00665266">
        <w:rPr>
          <w:color w:val="000000"/>
        </w:rPr>
        <w:t>.</w:t>
      </w:r>
      <w:r w:rsidRPr="00665266">
        <w:rPr>
          <w:color w:val="000000"/>
        </w:rPr>
        <w:t xml:space="preserve"> </w:t>
      </w:r>
    </w:p>
    <w:p w:rsidR="003F4E25" w:rsidRPr="00665266" w:rsidRDefault="003F4E25" w:rsidP="00F75E27">
      <w:pPr>
        <w:numPr>
          <w:ilvl w:val="4"/>
          <w:numId w:val="13"/>
        </w:numPr>
        <w:tabs>
          <w:tab w:val="clear" w:pos="3600"/>
          <w:tab w:val="num" w:pos="1080"/>
        </w:tabs>
        <w:autoSpaceDE w:val="0"/>
        <w:autoSpaceDN w:val="0"/>
        <w:adjustRightInd w:val="0"/>
        <w:spacing w:after="120"/>
        <w:ind w:left="1080"/>
        <w:rPr>
          <w:color w:val="000000"/>
        </w:rPr>
      </w:pPr>
      <w:r w:rsidRPr="00665266">
        <w:rPr>
          <w:color w:val="000000"/>
        </w:rPr>
        <w:t xml:space="preserve">To avoid supplementing </w:t>
      </w:r>
      <w:r w:rsidR="00E1611B">
        <w:rPr>
          <w:color w:val="000000"/>
        </w:rPr>
        <w:t>C</w:t>
      </w:r>
      <w:r w:rsidRPr="00665266">
        <w:rPr>
          <w:color w:val="000000"/>
        </w:rPr>
        <w:t xml:space="preserve">ongressional appropriations for specific programs, user fees </w:t>
      </w:r>
      <w:r w:rsidRPr="00471EBB">
        <w:rPr>
          <w:b/>
          <w:i/>
          <w:color w:val="000000"/>
          <w:u w:val="single"/>
        </w:rPr>
        <w:t>must</w:t>
      </w:r>
      <w:r w:rsidRPr="00665266">
        <w:rPr>
          <w:color w:val="000000"/>
        </w:rPr>
        <w:t xml:space="preserve"> be paid for using the same grant program used to purchase the original equipment. </w:t>
      </w:r>
    </w:p>
    <w:p w:rsidR="003F4E25" w:rsidRPr="00665266" w:rsidRDefault="003F4E25" w:rsidP="00F75E27">
      <w:pPr>
        <w:numPr>
          <w:ilvl w:val="7"/>
          <w:numId w:val="13"/>
        </w:numPr>
        <w:tabs>
          <w:tab w:val="clear" w:pos="5760"/>
          <w:tab w:val="num" w:pos="1080"/>
        </w:tabs>
        <w:autoSpaceDE w:val="0"/>
        <w:autoSpaceDN w:val="0"/>
        <w:adjustRightInd w:val="0"/>
        <w:spacing w:after="120"/>
        <w:ind w:left="1080"/>
        <w:rPr>
          <w:color w:val="000000"/>
        </w:rPr>
      </w:pPr>
      <w:r w:rsidRPr="00665266">
        <w:rPr>
          <w:color w:val="000000"/>
        </w:rPr>
        <w:t xml:space="preserve">The service time purchased shall </w:t>
      </w:r>
      <w:r w:rsidRPr="00665266">
        <w:rPr>
          <w:b/>
          <w:i/>
          <w:color w:val="000000"/>
          <w:u w:val="single"/>
        </w:rPr>
        <w:t>not</w:t>
      </w:r>
      <w:r w:rsidRPr="00665266">
        <w:rPr>
          <w:color w:val="000000"/>
        </w:rPr>
        <w:t xml:space="preserve"> exceed the period of performance of the grant to which the user fee is being charged.</w:t>
      </w:r>
    </w:p>
    <w:p w:rsidR="003F4E25" w:rsidRPr="00665266" w:rsidRDefault="003F4E25" w:rsidP="00152460">
      <w:pPr>
        <w:pStyle w:val="Heading1"/>
      </w:pPr>
      <w:bookmarkStart w:id="43" w:name="_Toc480368209"/>
      <w:r w:rsidRPr="00665266">
        <w:t>High Priority Projects</w:t>
      </w:r>
      <w:bookmarkEnd w:id="43"/>
    </w:p>
    <w:p w:rsidR="003F4E25" w:rsidRPr="00665266" w:rsidRDefault="003F4E25" w:rsidP="00F75E27">
      <w:pPr>
        <w:shd w:val="clear" w:color="auto" w:fill="FFFFFF"/>
        <w:autoSpaceDE w:val="0"/>
        <w:autoSpaceDN w:val="0"/>
        <w:adjustRightInd w:val="0"/>
        <w:spacing w:after="120"/>
      </w:pPr>
      <w:r w:rsidRPr="00665266">
        <w:t xml:space="preserve">The following list outlines some of the projects that are considered high priority items in </w:t>
      </w:r>
      <w:r w:rsidR="0036616A" w:rsidRPr="00665266">
        <w:t>NH</w:t>
      </w:r>
      <w:r w:rsidR="0015338E" w:rsidRPr="00665266">
        <w:t>’s</w:t>
      </w:r>
      <w:r w:rsidRPr="00665266">
        <w:t xml:space="preserve"> EMPG Program.</w:t>
      </w:r>
      <w:r w:rsidR="002956CA" w:rsidRPr="00665266">
        <w:t xml:space="preserve"> </w:t>
      </w:r>
      <w:r w:rsidRPr="00665266">
        <w:t xml:space="preserve">Priorities </w:t>
      </w:r>
      <w:r w:rsidRPr="00665266">
        <w:rPr>
          <w:i/>
        </w:rPr>
        <w:t>may change at any given time</w:t>
      </w:r>
      <w:r w:rsidRPr="00665266">
        <w:t xml:space="preserve"> depending on a number of conditions (i.e., revisions to the State’s Homeland Security Strategy, gaps identified in NH’s annual THIRA</w:t>
      </w:r>
      <w:r w:rsidR="00475D17">
        <w:t>/</w:t>
      </w:r>
      <w:r w:rsidRPr="00665266">
        <w:t>SPR and other types of assessments, weather and/or other events that have affected or have the potential to affect the State, results of after-action reports, etc.). Applications for these items will be reviewed and considered before other lower priority projects:</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Development or update of LEOP</w:t>
      </w:r>
      <w:r w:rsidR="00DD7144" w:rsidRPr="00665266">
        <w:t>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Development or update of COOP Plans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Equipment to support/enhance the capabilities of </w:t>
      </w:r>
      <w:r w:rsidRPr="00665266">
        <w:rPr>
          <w:b/>
        </w:rPr>
        <w:t>PRIMARY</w:t>
      </w:r>
      <w:r w:rsidRPr="00665266">
        <w:t xml:space="preserve"> </w:t>
      </w:r>
      <w:r w:rsidR="0015338E" w:rsidRPr="00665266">
        <w:t>EOC</w:t>
      </w:r>
      <w:r w:rsidRPr="00665266">
        <w:t>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Backup </w:t>
      </w:r>
      <w:r w:rsidR="0015338E" w:rsidRPr="00665266">
        <w:t>p</w:t>
      </w:r>
      <w:r w:rsidRPr="00665266">
        <w:t xml:space="preserve">ower for </w:t>
      </w:r>
      <w:r w:rsidRPr="00665266">
        <w:rPr>
          <w:b/>
        </w:rPr>
        <w:t>PRIMARY</w:t>
      </w:r>
      <w:r w:rsidRPr="00665266">
        <w:t xml:space="preserve"> </w:t>
      </w:r>
      <w:r w:rsidR="0015338E" w:rsidRPr="00665266">
        <w:t>EOC</w:t>
      </w:r>
      <w:r w:rsidRPr="00665266">
        <w:t>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Backup </w:t>
      </w:r>
      <w:r w:rsidR="0015338E" w:rsidRPr="00665266">
        <w:t>p</w:t>
      </w:r>
      <w:r w:rsidRPr="00665266">
        <w:t xml:space="preserve">ower for </w:t>
      </w:r>
      <w:r w:rsidRPr="00665266">
        <w:rPr>
          <w:b/>
        </w:rPr>
        <w:t xml:space="preserve">PRIMARY </w:t>
      </w:r>
      <w:r w:rsidR="0015338E" w:rsidRPr="00665266">
        <w:t>s</w:t>
      </w:r>
      <w:r w:rsidRPr="00665266">
        <w:t>helters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Backup </w:t>
      </w:r>
      <w:r w:rsidR="0015338E" w:rsidRPr="00665266">
        <w:t>p</w:t>
      </w:r>
      <w:r w:rsidRPr="00665266">
        <w:t xml:space="preserve">ower for </w:t>
      </w:r>
      <w:r w:rsidR="0015338E" w:rsidRPr="00665266">
        <w:t>w</w:t>
      </w:r>
      <w:r w:rsidRPr="00665266">
        <w:t xml:space="preserve">ater and </w:t>
      </w:r>
      <w:r w:rsidR="0015338E" w:rsidRPr="00665266">
        <w:t>s</w:t>
      </w:r>
      <w:r w:rsidRPr="00665266">
        <w:t xml:space="preserve">ewer </w:t>
      </w:r>
      <w:r w:rsidR="0015338E" w:rsidRPr="00665266">
        <w:t>t</w:t>
      </w:r>
      <w:r w:rsidRPr="00665266">
        <w:t xml:space="preserve">reatment </w:t>
      </w:r>
      <w:r w:rsidR="0015338E" w:rsidRPr="00665266">
        <w:t>f</w:t>
      </w:r>
      <w:r w:rsidRPr="00665266">
        <w:t>acilities</w:t>
      </w:r>
      <w:r w:rsidR="00475D17">
        <w:t>.</w:t>
      </w:r>
    </w:p>
    <w:p w:rsidR="003F4E25"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Backup </w:t>
      </w:r>
      <w:r w:rsidR="0015338E" w:rsidRPr="00665266">
        <w:t>p</w:t>
      </w:r>
      <w:r w:rsidRPr="00665266">
        <w:t xml:space="preserve">ower for </w:t>
      </w:r>
      <w:r w:rsidR="0015338E" w:rsidRPr="00665266">
        <w:t>c</w:t>
      </w:r>
      <w:r w:rsidRPr="00665266">
        <w:t xml:space="preserve">ritical </w:t>
      </w:r>
      <w:r w:rsidR="0015338E" w:rsidRPr="00665266">
        <w:t>c</w:t>
      </w:r>
      <w:r w:rsidRPr="00665266">
        <w:t xml:space="preserve">ommunication </w:t>
      </w:r>
      <w:r w:rsidR="0015338E" w:rsidRPr="00665266">
        <w:t>s</w:t>
      </w:r>
      <w:r w:rsidRPr="00665266">
        <w:t xml:space="preserve">tructures </w:t>
      </w:r>
      <w:r w:rsidR="00802D37">
        <w:t xml:space="preserve">- </w:t>
      </w:r>
      <w:r w:rsidRPr="00665266">
        <w:t>i.e., towers with communications equipment</w:t>
      </w:r>
      <w:r w:rsidR="00802D37">
        <w:t xml:space="preserve"> (</w:t>
      </w:r>
      <w:r w:rsidR="00802D37" w:rsidRPr="00802D37">
        <w:rPr>
          <w:u w:val="single"/>
        </w:rPr>
        <w:t>Maximum Award</w:t>
      </w:r>
      <w:r w:rsidR="00802D37">
        <w:t>: $25,000.00</w:t>
      </w:r>
      <w:r w:rsidRPr="00665266">
        <w:t>)</w:t>
      </w:r>
      <w:r w:rsidR="00475D17">
        <w:t>.</w:t>
      </w:r>
    </w:p>
    <w:p w:rsidR="003F4E25" w:rsidRPr="00665266" w:rsidRDefault="003F4E25" w:rsidP="00802D37">
      <w:pPr>
        <w:numPr>
          <w:ilvl w:val="0"/>
          <w:numId w:val="18"/>
        </w:numPr>
        <w:shd w:val="clear" w:color="auto" w:fill="FFFFFF"/>
        <w:tabs>
          <w:tab w:val="left" w:pos="540"/>
        </w:tabs>
        <w:autoSpaceDE w:val="0"/>
        <w:autoSpaceDN w:val="0"/>
        <w:adjustRightInd w:val="0"/>
        <w:spacing w:after="120"/>
        <w:ind w:left="540"/>
      </w:pPr>
      <w:r w:rsidRPr="00665266">
        <w:t xml:space="preserve">School </w:t>
      </w:r>
      <w:r w:rsidR="0015338E" w:rsidRPr="00665266">
        <w:t>e</w:t>
      </w:r>
      <w:r w:rsidRPr="00665266">
        <w:t xml:space="preserve">mergency </w:t>
      </w:r>
      <w:r w:rsidR="0015338E" w:rsidRPr="00665266">
        <w:t>n</w:t>
      </w:r>
      <w:r w:rsidRPr="00665266">
        <w:t xml:space="preserve">otification </w:t>
      </w:r>
      <w:r w:rsidR="0015338E" w:rsidRPr="00665266">
        <w:t>systems</w:t>
      </w:r>
      <w:r w:rsidRPr="00665266">
        <w:t xml:space="preserve"> for public schools and law enforcement agencies</w:t>
      </w:r>
      <w:r w:rsidR="00802D37">
        <w:t xml:space="preserve"> (t</w:t>
      </w:r>
      <w:r w:rsidR="00802D37" w:rsidRPr="00665266">
        <w:t>he grant award shall not exceed $1,800.00 per school building and $120.00 per police device/terminal</w:t>
      </w:r>
      <w:r w:rsidR="00802D37">
        <w:t>)</w:t>
      </w:r>
      <w:r w:rsidR="00802D37" w:rsidRPr="00665266">
        <w:t>.</w:t>
      </w:r>
    </w:p>
    <w:p w:rsidR="003A0E09" w:rsidRPr="00665266" w:rsidRDefault="003A0E09" w:rsidP="00152460">
      <w:pPr>
        <w:pStyle w:val="Heading2"/>
      </w:pPr>
      <w:bookmarkStart w:id="44" w:name="_Toc480368210"/>
      <w:r w:rsidRPr="00665266">
        <w:t>School Emergency Notification Software</w:t>
      </w:r>
      <w:bookmarkEnd w:id="44"/>
      <w:r w:rsidRPr="00665266">
        <w:t xml:space="preserve"> </w:t>
      </w:r>
    </w:p>
    <w:p w:rsidR="003A0E09" w:rsidRPr="00943609" w:rsidRDefault="00802D37" w:rsidP="001600B4">
      <w:pPr>
        <w:autoSpaceDE w:val="0"/>
        <w:autoSpaceDN w:val="0"/>
        <w:adjustRightInd w:val="0"/>
        <w:spacing w:after="120"/>
        <w:rPr>
          <w:i/>
        </w:rPr>
      </w:pPr>
      <w:r>
        <w:t xml:space="preserve">HSEM </w:t>
      </w:r>
      <w:r w:rsidR="003A0E09" w:rsidRPr="00665266">
        <w:t xml:space="preserve">prioritized a designated amount of funding from the EMPG Program for three (3) years (7/1/14 to 6/30/17) to assist with </w:t>
      </w:r>
      <w:r w:rsidR="003A0E09" w:rsidRPr="00665266">
        <w:rPr>
          <w:b/>
          <w:i/>
        </w:rPr>
        <w:t>enhancing</w:t>
      </w:r>
      <w:r w:rsidR="003A0E09" w:rsidRPr="00665266">
        <w:t xml:space="preserve"> </w:t>
      </w:r>
      <w:r w:rsidR="003A0E09" w:rsidRPr="00665266">
        <w:rPr>
          <w:b/>
          <w:i/>
        </w:rPr>
        <w:t>school security</w:t>
      </w:r>
      <w:r w:rsidR="003A0E09" w:rsidRPr="00665266">
        <w:t xml:space="preserve">. The purpose of this </w:t>
      </w:r>
      <w:r>
        <w:t xml:space="preserve">specific </w:t>
      </w:r>
      <w:r w:rsidR="003A0E09" w:rsidRPr="00665266">
        <w:t xml:space="preserve">program is to assist public schools and local law enforcement agencies with funding for the purchase and installation of </w:t>
      </w:r>
      <w:r w:rsidR="003A0E09" w:rsidRPr="00665266">
        <w:rPr>
          <w:b/>
          <w:u w:val="single"/>
        </w:rPr>
        <w:t>emergency notification software</w:t>
      </w:r>
      <w:r w:rsidR="003A0E09" w:rsidRPr="00665266">
        <w:t xml:space="preserve"> that will improve and enhance school security. </w:t>
      </w:r>
      <w:r w:rsidR="00E71538" w:rsidRPr="00943609">
        <w:rPr>
          <w:i/>
        </w:rPr>
        <w:t xml:space="preserve">Even though set aside funding for this type of software will not be in place after 6/30/17, HSEM will continue to </w:t>
      </w:r>
      <w:r w:rsidR="00943609" w:rsidRPr="00943609">
        <w:rPr>
          <w:i/>
        </w:rPr>
        <w:t>consider applications for school emergency notification systems and make awards on condition that funds are available in the EMPG Program.</w:t>
      </w:r>
      <w:r w:rsidR="00E71538" w:rsidRPr="00943609">
        <w:rPr>
          <w:i/>
        </w:rPr>
        <w:t xml:space="preserve"> </w:t>
      </w:r>
    </w:p>
    <w:p w:rsidR="003A0E09" w:rsidRPr="00665266" w:rsidRDefault="003A0E09" w:rsidP="001600B4">
      <w:pPr>
        <w:autoSpaceDE w:val="0"/>
        <w:autoSpaceDN w:val="0"/>
        <w:adjustRightInd w:val="0"/>
        <w:spacing w:after="120"/>
        <w:rPr>
          <w:b/>
          <w:u w:val="single"/>
        </w:rPr>
      </w:pPr>
      <w:r w:rsidRPr="00665266">
        <w:lastRenderedPageBreak/>
        <w:t>Funds will be reimbursed upon completion of the project and submittal of proper documentation to include the local match.</w:t>
      </w:r>
      <w:r w:rsidR="002956CA" w:rsidRPr="00665266">
        <w:t xml:space="preserve"> </w:t>
      </w:r>
      <w:r w:rsidRPr="00665266">
        <w:t>The grant will pay for the initial annual subscription fee only.</w:t>
      </w:r>
      <w:r w:rsidR="002956CA" w:rsidRPr="00665266">
        <w:t xml:space="preserve"> </w:t>
      </w:r>
      <w:r w:rsidRPr="00665266">
        <w:rPr>
          <w:b/>
          <w:u w:val="single"/>
        </w:rPr>
        <w:t xml:space="preserve">After the first year, </w:t>
      </w:r>
      <w:r w:rsidR="000E1DF5">
        <w:rPr>
          <w:b/>
          <w:u w:val="single"/>
        </w:rPr>
        <w:t>Subrecipient</w:t>
      </w:r>
      <w:r w:rsidRPr="00665266">
        <w:rPr>
          <w:b/>
          <w:u w:val="single"/>
        </w:rPr>
        <w:t>s are responsible for the subsequent annual subscription fee and any other associated costs/fees th</w:t>
      </w:r>
      <w:r w:rsidR="00C562B9" w:rsidRPr="00665266">
        <w:rPr>
          <w:b/>
          <w:u w:val="single"/>
        </w:rPr>
        <w:t>at</w:t>
      </w:r>
      <w:r w:rsidRPr="00665266">
        <w:rPr>
          <w:b/>
          <w:u w:val="single"/>
        </w:rPr>
        <w:t xml:space="preserve"> may incur.</w:t>
      </w:r>
      <w:r w:rsidR="002956CA" w:rsidRPr="00665266">
        <w:rPr>
          <w:b/>
          <w:u w:val="single"/>
        </w:rPr>
        <w:t xml:space="preserve"> </w:t>
      </w:r>
      <w:r w:rsidRPr="00665266">
        <w:rPr>
          <w:b/>
          <w:u w:val="single"/>
        </w:rPr>
        <w:t xml:space="preserve"> </w:t>
      </w:r>
    </w:p>
    <w:p w:rsidR="003A0E09" w:rsidRPr="00665266" w:rsidRDefault="003A0E09" w:rsidP="001600B4">
      <w:pPr>
        <w:autoSpaceDE w:val="0"/>
        <w:autoSpaceDN w:val="0"/>
        <w:adjustRightInd w:val="0"/>
        <w:spacing w:after="120"/>
      </w:pPr>
      <w:r w:rsidRPr="00665266">
        <w:t xml:space="preserve">Both the community’s school(s) and the local police department </w:t>
      </w:r>
      <w:r w:rsidRPr="00665266">
        <w:rPr>
          <w:iCs/>
        </w:rPr>
        <w:t xml:space="preserve">are encouraged to </w:t>
      </w:r>
      <w:r w:rsidRPr="00665266">
        <w:t>participate; however, a school district can independently apply if their local community does not have a police department and a police department can apply if their local community does not have a school.</w:t>
      </w:r>
      <w:r w:rsidR="002956CA" w:rsidRPr="00665266">
        <w:t xml:space="preserve"> </w:t>
      </w:r>
      <w:r w:rsidRPr="00665266">
        <w:t xml:space="preserve">If a community has both a school and police department, and only the police department wishes to participate, they </w:t>
      </w:r>
      <w:r w:rsidR="00471EBB" w:rsidRPr="00471EBB">
        <w:rPr>
          <w:b/>
          <w:i/>
          <w:u w:val="single"/>
        </w:rPr>
        <w:t>must</w:t>
      </w:r>
      <w:r w:rsidRPr="00471EBB">
        <w:rPr>
          <w:i/>
        </w:rPr>
        <w:t xml:space="preserve"> </w:t>
      </w:r>
      <w:r w:rsidRPr="00665266">
        <w:t>provide proof of any law enforcement mutual aid agreements to neighboring jurisdictions where schools have the emergency notification software installed. If mutual aid agreements are informal, you will need to submit a letter with your grant application outlining the agreement. If a formal agreement exists</w:t>
      </w:r>
      <w:r w:rsidR="00406B05" w:rsidRPr="00665266">
        <w:t>,</w:t>
      </w:r>
      <w:r w:rsidRPr="00665266">
        <w:t xml:space="preserve"> you may submit a copy of any signed mutual aid agreements with your grant application. </w:t>
      </w:r>
    </w:p>
    <w:p w:rsidR="003A0E09" w:rsidRPr="00665266" w:rsidRDefault="003A0E09" w:rsidP="001600B4">
      <w:pPr>
        <w:autoSpaceDE w:val="0"/>
        <w:autoSpaceDN w:val="0"/>
        <w:adjustRightInd w:val="0"/>
        <w:spacing w:after="120"/>
      </w:pPr>
      <w:r w:rsidRPr="00665266">
        <w:t xml:space="preserve">The special </w:t>
      </w:r>
      <w:r w:rsidRPr="00665266">
        <w:rPr>
          <w:b/>
        </w:rPr>
        <w:t>School Emergency Notification Software EMPG Application</w:t>
      </w:r>
      <w:r w:rsidRPr="00665266">
        <w:t xml:space="preserve"> can be accessed at the following link:</w:t>
      </w:r>
      <w:r w:rsidR="002956CA" w:rsidRPr="00665266">
        <w:rPr>
          <w:b/>
        </w:rPr>
        <w:t xml:space="preserve"> </w:t>
      </w:r>
      <w:hyperlink r:id="rId49" w:history="1">
        <w:r w:rsidRPr="00665266">
          <w:rPr>
            <w:rStyle w:val="Hyperlink"/>
          </w:rPr>
          <w:t>https://apps.nh.gov/blogs/hsem/?page_id=347</w:t>
        </w:r>
      </w:hyperlink>
      <w:r w:rsidRPr="00665266">
        <w:t>.</w:t>
      </w:r>
      <w:r w:rsidR="002956CA" w:rsidRPr="00665266">
        <w:t xml:space="preserve"> </w:t>
      </w:r>
    </w:p>
    <w:p w:rsidR="003A0E09" w:rsidRPr="00665266" w:rsidRDefault="00E00F71" w:rsidP="001600B4">
      <w:pPr>
        <w:autoSpaceDE w:val="0"/>
        <w:autoSpaceDN w:val="0"/>
        <w:adjustRightInd w:val="0"/>
        <w:spacing w:after="120"/>
      </w:pPr>
      <w:r>
        <w:t>R</w:t>
      </w:r>
      <w:r w:rsidR="003A0E09" w:rsidRPr="00665266">
        <w:t xml:space="preserve">efer to the current </w:t>
      </w:r>
      <w:r w:rsidR="003A0E09" w:rsidRPr="00665266">
        <w:rPr>
          <w:b/>
          <w:i/>
        </w:rPr>
        <w:t>EMPG Quick Reference Guide</w:t>
      </w:r>
      <w:r w:rsidR="003A0E09" w:rsidRPr="00665266">
        <w:t xml:space="preserve"> for the </w:t>
      </w:r>
      <w:r w:rsidR="003A0E09" w:rsidRPr="00665266">
        <w:rPr>
          <w:b/>
          <w:color w:val="000000"/>
        </w:rPr>
        <w:t>School Emergency Notification Software</w:t>
      </w:r>
      <w:r w:rsidR="003A0E09" w:rsidRPr="00665266">
        <w:t xml:space="preserve"> checklist of information required for application: </w:t>
      </w:r>
      <w:hyperlink r:id="rId50" w:history="1">
        <w:r w:rsidR="003A0E09" w:rsidRPr="00665266">
          <w:rPr>
            <w:rStyle w:val="Hyperlink"/>
          </w:rPr>
          <w:t>https://apps.nh.gov/blogs/hsem/wp-content/uploads/2015/10/COPSYNC-Application-QuickReference-Guide-Rev-092715.pdf</w:t>
        </w:r>
      </w:hyperlink>
      <w:r w:rsidR="003A0E09" w:rsidRPr="00665266">
        <w:t xml:space="preserve"> </w:t>
      </w:r>
    </w:p>
    <w:p w:rsidR="003F4E25" w:rsidRPr="00665266" w:rsidRDefault="00A53CE0" w:rsidP="004F5007">
      <w:pPr>
        <w:pStyle w:val="Heading1"/>
      </w:pPr>
      <w:bookmarkStart w:id="45" w:name="_Toc480368211"/>
      <w:r w:rsidRPr="00665266">
        <w:t>Medium Priority Projects</w:t>
      </w:r>
      <w:r w:rsidR="003F4E25" w:rsidRPr="00665266">
        <w:t>/Allowable Costs</w:t>
      </w:r>
      <w:bookmarkEnd w:id="45"/>
    </w:p>
    <w:p w:rsidR="003F4E25" w:rsidRPr="00665266" w:rsidRDefault="003F4E25" w:rsidP="00475D17">
      <w:pPr>
        <w:spacing w:after="120"/>
        <w:rPr>
          <w:b/>
          <w:i/>
        </w:rPr>
      </w:pPr>
      <w:r w:rsidRPr="00665266">
        <w:t>Due to the limited amount of funding and a high volume of quality projects, it is necessary to set funding priorities based on the State Homeland Security Strategy, THIRA</w:t>
      </w:r>
      <w:r w:rsidR="0036616A" w:rsidRPr="00665266">
        <w:t xml:space="preserve"> and </w:t>
      </w:r>
      <w:r w:rsidRPr="00665266">
        <w:t xml:space="preserve">SPR, as well as </w:t>
      </w:r>
      <w:r w:rsidR="00EA2005" w:rsidRPr="00665266">
        <w:t xml:space="preserve">other </w:t>
      </w:r>
      <w:r w:rsidRPr="00665266">
        <w:t>State and Federal guidelines.</w:t>
      </w:r>
      <w:r w:rsidR="002956CA" w:rsidRPr="00665266">
        <w:t xml:space="preserve"> </w:t>
      </w:r>
    </w:p>
    <w:p w:rsidR="00943609" w:rsidRDefault="003F4E25" w:rsidP="005067B1">
      <w:r w:rsidRPr="00665266">
        <w:t xml:space="preserve">The following items are considered </w:t>
      </w:r>
      <w:r w:rsidR="0036616A" w:rsidRPr="00665266">
        <w:t>medium</w:t>
      </w:r>
      <w:r w:rsidRPr="00665266">
        <w:t xml:space="preserve"> priority under </w:t>
      </w:r>
      <w:r w:rsidR="0036616A" w:rsidRPr="00665266">
        <w:t>NH’s</w:t>
      </w:r>
      <w:r w:rsidRPr="00665266">
        <w:t xml:space="preserve"> EMPG Program.</w:t>
      </w:r>
      <w:r w:rsidR="002956CA" w:rsidRPr="00665266">
        <w:t xml:space="preserve"> </w:t>
      </w:r>
      <w:r w:rsidRPr="00665266">
        <w:t xml:space="preserve">Applications for these items will be reviewed by the EMPG Review Committee and consideration will be made on a </w:t>
      </w:r>
      <w:r w:rsidRPr="00665266">
        <w:rPr>
          <w:b/>
          <w:u w:val="single"/>
        </w:rPr>
        <w:t>case-by-case basis</w:t>
      </w:r>
      <w:r w:rsidRPr="00665266">
        <w:t>:</w:t>
      </w:r>
    </w:p>
    <w:p w:rsidR="00943609" w:rsidRPr="00665266" w:rsidRDefault="00943609" w:rsidP="005067B1">
      <w:pPr>
        <w:rPr>
          <w:b/>
          <w:i/>
        </w:rPr>
      </w:pPr>
    </w:p>
    <w:p w:rsidR="003F4E25" w:rsidRPr="00665266" w:rsidRDefault="00406B05" w:rsidP="00E00F71">
      <w:pPr>
        <w:pStyle w:val="ListParagraph"/>
        <w:numPr>
          <w:ilvl w:val="0"/>
          <w:numId w:val="33"/>
        </w:numPr>
        <w:spacing w:after="80"/>
        <w:contextualSpacing w:val="0"/>
        <w:rPr>
          <w:b/>
          <w:i/>
          <w:sz w:val="24"/>
        </w:rPr>
      </w:pPr>
      <w:r w:rsidRPr="00665266">
        <w:rPr>
          <w:sz w:val="24"/>
        </w:rPr>
        <w:t>Communication e</w:t>
      </w:r>
      <w:r w:rsidR="003F4E25" w:rsidRPr="00665266">
        <w:rPr>
          <w:sz w:val="24"/>
        </w:rPr>
        <w:t xml:space="preserve">quipment for Emergency Management use (i.e., </w:t>
      </w:r>
      <w:r w:rsidR="00923411">
        <w:rPr>
          <w:sz w:val="24"/>
        </w:rPr>
        <w:t>EOC base station radios, repeater systems</w:t>
      </w:r>
      <w:r w:rsidR="003F4E25" w:rsidRPr="00665266">
        <w:rPr>
          <w:sz w:val="24"/>
        </w:rPr>
        <w:t>)</w:t>
      </w:r>
      <w:r w:rsidR="00AC122B">
        <w:rPr>
          <w:sz w:val="24"/>
        </w:rPr>
        <w:t>.</w:t>
      </w:r>
    </w:p>
    <w:p w:rsidR="003F4E25" w:rsidRPr="00665266" w:rsidRDefault="003F4E25" w:rsidP="00E00F71">
      <w:pPr>
        <w:pStyle w:val="ListParagraph"/>
        <w:numPr>
          <w:ilvl w:val="0"/>
          <w:numId w:val="33"/>
        </w:numPr>
        <w:spacing w:after="80"/>
        <w:contextualSpacing w:val="0"/>
        <w:rPr>
          <w:sz w:val="24"/>
        </w:rPr>
      </w:pPr>
      <w:r w:rsidRPr="00665266">
        <w:rPr>
          <w:sz w:val="24"/>
        </w:rPr>
        <w:t xml:space="preserve">Equipment for secondary/backup </w:t>
      </w:r>
      <w:r w:rsidR="00406B05" w:rsidRPr="00665266">
        <w:rPr>
          <w:sz w:val="24"/>
        </w:rPr>
        <w:t>EOC</w:t>
      </w:r>
      <w:r w:rsidRPr="00665266">
        <w:rPr>
          <w:sz w:val="24"/>
        </w:rPr>
        <w:t>s</w:t>
      </w:r>
      <w:r w:rsidR="00AC122B">
        <w:rPr>
          <w:sz w:val="24"/>
        </w:rPr>
        <w:t>.</w:t>
      </w:r>
    </w:p>
    <w:p w:rsidR="003F4E25" w:rsidRPr="00665266" w:rsidRDefault="003F4E25" w:rsidP="00E00F71">
      <w:pPr>
        <w:pStyle w:val="ListParagraph"/>
        <w:numPr>
          <w:ilvl w:val="0"/>
          <w:numId w:val="33"/>
        </w:numPr>
        <w:spacing w:after="80"/>
        <w:contextualSpacing w:val="0"/>
        <w:rPr>
          <w:sz w:val="24"/>
        </w:rPr>
      </w:pPr>
      <w:r w:rsidRPr="00665266">
        <w:rPr>
          <w:sz w:val="24"/>
        </w:rPr>
        <w:t xml:space="preserve">Generators for secondary/backup </w:t>
      </w:r>
      <w:r w:rsidR="00406B05" w:rsidRPr="00665266">
        <w:rPr>
          <w:sz w:val="24"/>
        </w:rPr>
        <w:t>EOC</w:t>
      </w:r>
      <w:r w:rsidRPr="00665266">
        <w:rPr>
          <w:sz w:val="24"/>
        </w:rPr>
        <w:t>s</w:t>
      </w:r>
      <w:r w:rsidR="00AC122B">
        <w:rPr>
          <w:sz w:val="24"/>
        </w:rPr>
        <w:t>.</w:t>
      </w:r>
    </w:p>
    <w:p w:rsidR="003F4E25" w:rsidRPr="00665266" w:rsidRDefault="003F4E25" w:rsidP="00E00F71">
      <w:pPr>
        <w:pStyle w:val="ListParagraph"/>
        <w:numPr>
          <w:ilvl w:val="0"/>
          <w:numId w:val="33"/>
        </w:numPr>
        <w:spacing w:after="80"/>
        <w:contextualSpacing w:val="0"/>
        <w:rPr>
          <w:sz w:val="24"/>
        </w:rPr>
      </w:pPr>
      <w:r w:rsidRPr="00665266">
        <w:rPr>
          <w:sz w:val="24"/>
        </w:rPr>
        <w:t>Generators for secondary/backup shelters</w:t>
      </w:r>
      <w:r w:rsidR="00AC122B">
        <w:rPr>
          <w:sz w:val="24"/>
        </w:rPr>
        <w:t>.</w:t>
      </w:r>
    </w:p>
    <w:p w:rsidR="003F4E25" w:rsidRPr="00665266" w:rsidRDefault="003F4E25" w:rsidP="00E00F71">
      <w:pPr>
        <w:pStyle w:val="ListParagraph"/>
        <w:numPr>
          <w:ilvl w:val="0"/>
          <w:numId w:val="33"/>
        </w:numPr>
        <w:spacing w:after="80"/>
        <w:contextualSpacing w:val="0"/>
        <w:rPr>
          <w:b/>
          <w:i/>
          <w:sz w:val="24"/>
        </w:rPr>
      </w:pPr>
      <w:r w:rsidRPr="00665266">
        <w:rPr>
          <w:sz w:val="24"/>
        </w:rPr>
        <w:t>Generators for public works</w:t>
      </w:r>
      <w:r w:rsidR="00AC122B">
        <w:rPr>
          <w:sz w:val="24"/>
        </w:rPr>
        <w:t xml:space="preserve"> facilities.</w:t>
      </w:r>
    </w:p>
    <w:p w:rsidR="003F4E25" w:rsidRPr="00665266" w:rsidRDefault="003F4E25" w:rsidP="00E00F71">
      <w:pPr>
        <w:pStyle w:val="ListParagraph"/>
        <w:numPr>
          <w:ilvl w:val="0"/>
          <w:numId w:val="33"/>
        </w:numPr>
        <w:spacing w:after="80"/>
        <w:contextualSpacing w:val="0"/>
        <w:rPr>
          <w:b/>
          <w:i/>
          <w:sz w:val="24"/>
        </w:rPr>
      </w:pPr>
      <w:r w:rsidRPr="00665266">
        <w:rPr>
          <w:sz w:val="24"/>
        </w:rPr>
        <w:t>Portable electronic sign boards (</w:t>
      </w:r>
      <w:r w:rsidRPr="00665266">
        <w:rPr>
          <w:b/>
          <w:sz w:val="24"/>
          <w:u w:val="single"/>
        </w:rPr>
        <w:t>maximum award</w:t>
      </w:r>
      <w:r w:rsidRPr="00665266">
        <w:rPr>
          <w:sz w:val="24"/>
        </w:rPr>
        <w:t>:</w:t>
      </w:r>
      <w:r w:rsidR="0036616A" w:rsidRPr="00665266">
        <w:rPr>
          <w:sz w:val="24"/>
        </w:rPr>
        <w:t xml:space="preserve"> </w:t>
      </w:r>
      <w:r w:rsidRPr="00665266">
        <w:rPr>
          <w:sz w:val="24"/>
        </w:rPr>
        <w:t>$12,500.00)</w:t>
      </w:r>
      <w:r w:rsidR="00AC122B">
        <w:rPr>
          <w:sz w:val="24"/>
        </w:rPr>
        <w:t>.</w:t>
      </w:r>
    </w:p>
    <w:p w:rsidR="003F4E25" w:rsidRPr="00665266" w:rsidRDefault="00406B05" w:rsidP="00E00F71">
      <w:pPr>
        <w:pStyle w:val="ListParagraph"/>
        <w:numPr>
          <w:ilvl w:val="0"/>
          <w:numId w:val="33"/>
        </w:numPr>
        <w:spacing w:after="80"/>
        <w:contextualSpacing w:val="0"/>
        <w:rPr>
          <w:b/>
          <w:i/>
          <w:sz w:val="24"/>
        </w:rPr>
      </w:pPr>
      <w:r w:rsidRPr="00665266">
        <w:rPr>
          <w:sz w:val="24"/>
        </w:rPr>
        <w:t>Emergency Management equipment t</w:t>
      </w:r>
      <w:r w:rsidR="003F4E25" w:rsidRPr="00665266">
        <w:rPr>
          <w:sz w:val="24"/>
        </w:rPr>
        <w:t>railers (</w:t>
      </w:r>
      <w:r w:rsidR="003F4E25" w:rsidRPr="00665266">
        <w:rPr>
          <w:b/>
          <w:sz w:val="24"/>
          <w:u w:val="single"/>
        </w:rPr>
        <w:t>maximum award:</w:t>
      </w:r>
      <w:r w:rsidR="003F4E25" w:rsidRPr="00665266">
        <w:rPr>
          <w:sz w:val="24"/>
        </w:rPr>
        <w:t xml:space="preserve"> $10,000.00)</w:t>
      </w:r>
      <w:r w:rsidR="00AC122B">
        <w:rPr>
          <w:sz w:val="24"/>
        </w:rPr>
        <w:t>.</w:t>
      </w:r>
    </w:p>
    <w:p w:rsidR="00AC122B" w:rsidRDefault="003F4E25" w:rsidP="00E00F71">
      <w:pPr>
        <w:pStyle w:val="ListParagraph"/>
        <w:numPr>
          <w:ilvl w:val="0"/>
          <w:numId w:val="33"/>
        </w:numPr>
        <w:spacing w:after="80"/>
        <w:contextualSpacing w:val="0"/>
        <w:rPr>
          <w:sz w:val="24"/>
        </w:rPr>
      </w:pPr>
      <w:r w:rsidRPr="00665266">
        <w:rPr>
          <w:sz w:val="24"/>
        </w:rPr>
        <w:t>Tablets for use in emergency vehicles (</w:t>
      </w:r>
      <w:r w:rsidRPr="00665266">
        <w:rPr>
          <w:b/>
          <w:sz w:val="24"/>
          <w:u w:val="single"/>
        </w:rPr>
        <w:t>maximum award:</w:t>
      </w:r>
      <w:r w:rsidRPr="00665266">
        <w:rPr>
          <w:sz w:val="24"/>
        </w:rPr>
        <w:t xml:space="preserve"> 25% of total cost of hard cash, maximum of 3 per community and </w:t>
      </w:r>
      <w:r w:rsidRPr="00471EBB">
        <w:rPr>
          <w:b/>
          <w:i/>
          <w:sz w:val="24"/>
          <w:u w:val="single"/>
        </w:rPr>
        <w:t>must</w:t>
      </w:r>
      <w:r w:rsidRPr="00665266">
        <w:rPr>
          <w:sz w:val="24"/>
        </w:rPr>
        <w:t xml:space="preserve"> </w:t>
      </w:r>
      <w:r w:rsidR="00AC72D7">
        <w:rPr>
          <w:sz w:val="24"/>
        </w:rPr>
        <w:t>be used for</w:t>
      </w:r>
      <w:r w:rsidRPr="00665266">
        <w:rPr>
          <w:sz w:val="24"/>
        </w:rPr>
        <w:t xml:space="preserve"> emergency management purposes only)</w:t>
      </w:r>
      <w:r w:rsidR="00AC122B">
        <w:rPr>
          <w:sz w:val="24"/>
        </w:rPr>
        <w:t>.</w:t>
      </w:r>
    </w:p>
    <w:p w:rsidR="003F4E25" w:rsidRPr="00665266" w:rsidRDefault="00A53CE0" w:rsidP="00152460">
      <w:pPr>
        <w:pStyle w:val="Heading1"/>
      </w:pPr>
      <w:bookmarkStart w:id="46" w:name="_Toc480368212"/>
      <w:r w:rsidRPr="00665266">
        <w:lastRenderedPageBreak/>
        <w:t>Low Priority Projects</w:t>
      </w:r>
      <w:r w:rsidR="003F4E25" w:rsidRPr="00665266">
        <w:t>/Allowable Costs</w:t>
      </w:r>
      <w:bookmarkEnd w:id="46"/>
    </w:p>
    <w:p w:rsidR="00C51D3C" w:rsidRDefault="003F4E25" w:rsidP="005067B1">
      <w:r w:rsidRPr="00665266">
        <w:t xml:space="preserve">As </w:t>
      </w:r>
      <w:r w:rsidR="00EA2005" w:rsidRPr="00665266">
        <w:t>previously mentioned</w:t>
      </w:r>
      <w:r w:rsidRPr="00665266">
        <w:t>, due to limited amount of funding and high volume of quality projects, it is necessary to set funding priorities based on the State’s assessments and reports.</w:t>
      </w:r>
      <w:r w:rsidR="002956CA" w:rsidRPr="00665266">
        <w:t xml:space="preserve"> </w:t>
      </w:r>
      <w:r w:rsidRPr="00665266">
        <w:t xml:space="preserve">Applications for projects that </w:t>
      </w:r>
      <w:r w:rsidR="000113A4" w:rsidRPr="00665266">
        <w:t>do not fit within the Medium and High Priority Projects may be</w:t>
      </w:r>
      <w:r w:rsidRPr="00665266">
        <w:t xml:space="preserve"> considered to be a Low Priority Project </w:t>
      </w:r>
      <w:r w:rsidR="000113A4" w:rsidRPr="00665266">
        <w:t xml:space="preserve">and </w:t>
      </w:r>
      <w:r w:rsidRPr="00665266">
        <w:t xml:space="preserve">will be placed on hold and reviewed at end of the grant funding cycle after </w:t>
      </w:r>
      <w:r w:rsidR="000113A4" w:rsidRPr="00665266">
        <w:t>Medium and High Priority P</w:t>
      </w:r>
      <w:r w:rsidRPr="00665266">
        <w:t xml:space="preserve">rojects have been processed. These projects will be reviewed by the EMPG Review Committee and consideration will be made on a </w:t>
      </w:r>
      <w:r w:rsidRPr="00665266">
        <w:rPr>
          <w:b/>
          <w:u w:val="single"/>
        </w:rPr>
        <w:t>case-by-case basis</w:t>
      </w:r>
      <w:r w:rsidR="0036616A" w:rsidRPr="00665266">
        <w:t xml:space="preserve"> with</w:t>
      </w:r>
      <w:r w:rsidRPr="00665266">
        <w:t xml:space="preserve"> the availability of funding.</w:t>
      </w:r>
    </w:p>
    <w:p w:rsidR="003F4E25" w:rsidRPr="00665266" w:rsidRDefault="003F4E25" w:rsidP="005067B1">
      <w:r w:rsidRPr="00665266">
        <w:t xml:space="preserve"> </w:t>
      </w:r>
    </w:p>
    <w:p w:rsidR="0059771B" w:rsidRPr="00665266" w:rsidRDefault="0059771B" w:rsidP="00152460">
      <w:pPr>
        <w:pStyle w:val="Heading1"/>
        <w:rPr>
          <w:shd w:val="clear" w:color="auto" w:fill="005A51"/>
        </w:rPr>
      </w:pPr>
      <w:bookmarkStart w:id="47" w:name="_Toc480368213"/>
      <w:r w:rsidRPr="00152460">
        <w:t>Unallowable Costs/Items Not Funded</w:t>
      </w:r>
      <w:bookmarkEnd w:id="47"/>
    </w:p>
    <w:p w:rsidR="0036616A" w:rsidRPr="00665266" w:rsidRDefault="0036616A" w:rsidP="0036616A">
      <w:pPr>
        <w:spacing w:after="120"/>
        <w:rPr>
          <w:bCs/>
        </w:rPr>
      </w:pPr>
      <w:r w:rsidRPr="00665266">
        <w:rPr>
          <w:bCs/>
        </w:rPr>
        <w:t xml:space="preserve">Grant funds may </w:t>
      </w:r>
      <w:r w:rsidRPr="00665266">
        <w:rPr>
          <w:b/>
          <w:bCs/>
        </w:rPr>
        <w:t>NOT</w:t>
      </w:r>
      <w:r w:rsidRPr="00665266">
        <w:rPr>
          <w:bCs/>
        </w:rPr>
        <w:t xml:space="preserve"> be used for the following costs/items:</w:t>
      </w:r>
    </w:p>
    <w:p w:rsidR="003F4E25" w:rsidRPr="00665266" w:rsidRDefault="003F4E25" w:rsidP="00AC122B">
      <w:pPr>
        <w:numPr>
          <w:ilvl w:val="0"/>
          <w:numId w:val="13"/>
        </w:numPr>
        <w:tabs>
          <w:tab w:val="clear" w:pos="2160"/>
          <w:tab w:val="left" w:pos="0"/>
        </w:tabs>
        <w:spacing w:after="120"/>
        <w:ind w:left="810"/>
        <w:rPr>
          <w:b/>
          <w:bCs/>
        </w:rPr>
      </w:pPr>
      <w:r w:rsidRPr="00665266">
        <w:rPr>
          <w:bCs/>
        </w:rPr>
        <w:t>Costs incurred/purchases made against the Federal share</w:t>
      </w:r>
      <w:r w:rsidRPr="00665266">
        <w:rPr>
          <w:b/>
          <w:bCs/>
        </w:rPr>
        <w:t xml:space="preserve"> PRIOR </w:t>
      </w:r>
      <w:r w:rsidRPr="00665266">
        <w:rPr>
          <w:bCs/>
        </w:rPr>
        <w:t>to notification of the grant award.</w:t>
      </w:r>
      <w:r w:rsidRPr="00665266">
        <w:rPr>
          <w:b/>
          <w:bCs/>
        </w:rPr>
        <w:t xml:space="preserve"> </w:t>
      </w:r>
    </w:p>
    <w:p w:rsidR="003F4E25" w:rsidRPr="00665266" w:rsidRDefault="003F4E25" w:rsidP="00AC122B">
      <w:pPr>
        <w:numPr>
          <w:ilvl w:val="0"/>
          <w:numId w:val="13"/>
        </w:numPr>
        <w:tabs>
          <w:tab w:val="clear" w:pos="2160"/>
          <w:tab w:val="left" w:pos="0"/>
        </w:tabs>
        <w:spacing w:after="120"/>
        <w:ind w:left="810"/>
        <w:rPr>
          <w:b/>
          <w:bCs/>
        </w:rPr>
      </w:pPr>
      <w:r w:rsidRPr="00665266">
        <w:rPr>
          <w:bCs/>
        </w:rPr>
        <w:t>General administrative projects</w:t>
      </w:r>
      <w:r w:rsidR="0036616A" w:rsidRPr="00665266">
        <w:rPr>
          <w:bCs/>
        </w:rPr>
        <w:t xml:space="preserve"> not</w:t>
      </w:r>
      <w:r w:rsidRPr="00665266">
        <w:rPr>
          <w:bCs/>
        </w:rPr>
        <w:t xml:space="preserve"> directly connected to a specific Emergency Management-related project.</w:t>
      </w:r>
    </w:p>
    <w:p w:rsidR="003F4E25" w:rsidRPr="00665266" w:rsidRDefault="003F4E25" w:rsidP="00AC122B">
      <w:pPr>
        <w:numPr>
          <w:ilvl w:val="0"/>
          <w:numId w:val="13"/>
        </w:numPr>
        <w:tabs>
          <w:tab w:val="clear" w:pos="2160"/>
          <w:tab w:val="left" w:pos="0"/>
        </w:tabs>
        <w:spacing w:after="120"/>
        <w:ind w:left="810"/>
        <w:rPr>
          <w:b/>
          <w:bCs/>
        </w:rPr>
      </w:pPr>
      <w:r w:rsidRPr="00665266">
        <w:rPr>
          <w:bCs/>
        </w:rPr>
        <w:t>Fixed/stationary emergency electronic sign boards</w:t>
      </w:r>
      <w:r w:rsidR="0036616A" w:rsidRPr="00665266">
        <w:rPr>
          <w:bCs/>
        </w:rPr>
        <w:t>.</w:t>
      </w:r>
    </w:p>
    <w:p w:rsidR="003F4E25" w:rsidRPr="00665266" w:rsidRDefault="003F4E25" w:rsidP="00AC122B">
      <w:pPr>
        <w:numPr>
          <w:ilvl w:val="0"/>
          <w:numId w:val="13"/>
        </w:numPr>
        <w:tabs>
          <w:tab w:val="clear" w:pos="2160"/>
          <w:tab w:val="left" w:pos="0"/>
        </w:tabs>
        <w:spacing w:after="120"/>
        <w:ind w:left="810"/>
        <w:rPr>
          <w:b/>
          <w:bCs/>
        </w:rPr>
      </w:pPr>
      <w:r w:rsidRPr="00665266">
        <w:rPr>
          <w:bCs/>
        </w:rPr>
        <w:t xml:space="preserve">Mobile Data Terminals (MDTs) for </w:t>
      </w:r>
      <w:r w:rsidRPr="00665266">
        <w:rPr>
          <w:b/>
          <w:bCs/>
          <w:u w:val="single"/>
        </w:rPr>
        <w:t>everyday</w:t>
      </w:r>
      <w:r w:rsidRPr="00665266">
        <w:rPr>
          <w:bCs/>
        </w:rPr>
        <w:t xml:space="preserve"> use</w:t>
      </w:r>
      <w:r w:rsidR="0036616A" w:rsidRPr="00665266">
        <w:rPr>
          <w:bCs/>
        </w:rPr>
        <w:t>.</w:t>
      </w:r>
      <w:r w:rsidRPr="00665266">
        <w:rPr>
          <w:bCs/>
        </w:rPr>
        <w:t xml:space="preserve"> </w:t>
      </w:r>
    </w:p>
    <w:p w:rsidR="003F4E25" w:rsidRPr="00665266" w:rsidRDefault="003F4E25" w:rsidP="00AC122B">
      <w:pPr>
        <w:numPr>
          <w:ilvl w:val="0"/>
          <w:numId w:val="13"/>
        </w:numPr>
        <w:tabs>
          <w:tab w:val="clear" w:pos="2160"/>
          <w:tab w:val="left" w:pos="0"/>
        </w:tabs>
        <w:spacing w:after="120"/>
        <w:ind w:left="810"/>
        <w:rPr>
          <w:bCs/>
        </w:rPr>
      </w:pPr>
      <w:r w:rsidRPr="00665266">
        <w:rPr>
          <w:bCs/>
        </w:rPr>
        <w:t xml:space="preserve">The same/similar project will </w:t>
      </w:r>
      <w:r w:rsidRPr="00665266">
        <w:rPr>
          <w:b/>
          <w:bCs/>
          <w:i/>
          <w:u w:val="single"/>
        </w:rPr>
        <w:t>not</w:t>
      </w:r>
      <w:r w:rsidRPr="00665266">
        <w:rPr>
          <w:bCs/>
          <w:u w:val="single"/>
        </w:rPr>
        <w:t xml:space="preserve"> </w:t>
      </w:r>
      <w:r w:rsidRPr="00665266">
        <w:rPr>
          <w:bCs/>
        </w:rPr>
        <w:t>be funded year after year.</w:t>
      </w:r>
      <w:r w:rsidR="002956CA" w:rsidRPr="00665266">
        <w:rPr>
          <w:bCs/>
        </w:rPr>
        <w:t xml:space="preserve"> </w:t>
      </w:r>
    </w:p>
    <w:p w:rsidR="003F4E25" w:rsidRPr="00665266" w:rsidRDefault="00687AE8"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Radios/p</w:t>
      </w:r>
      <w:r w:rsidR="003F4E25" w:rsidRPr="00665266">
        <w:rPr>
          <w:color w:val="000000"/>
        </w:rPr>
        <w:t>agers for everyday/service use.</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Projects exceeding $100,</w:t>
      </w:r>
      <w:r w:rsidR="00946C74" w:rsidRPr="00665266">
        <w:rPr>
          <w:color w:val="000000"/>
        </w:rPr>
        <w:t xml:space="preserve">000.00 (refer to waiver </w:t>
      </w:r>
      <w:r w:rsidR="00EA2005" w:rsidRPr="00665266">
        <w:rPr>
          <w:color w:val="000000"/>
        </w:rPr>
        <w:t xml:space="preserve">process </w:t>
      </w:r>
      <w:r w:rsidR="00946C74" w:rsidRPr="00665266">
        <w:rPr>
          <w:color w:val="000000"/>
        </w:rPr>
        <w:t>notice below</w:t>
      </w:r>
      <w:r w:rsidRPr="00665266">
        <w:rPr>
          <w:color w:val="000000"/>
        </w:rPr>
        <w:t>)</w:t>
      </w:r>
      <w:r w:rsidR="00687AE8" w:rsidRPr="00665266">
        <w:rPr>
          <w:color w:val="000000"/>
        </w:rPr>
        <w:t>.</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Expenditures for weapons systems and ammunition. </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Costs to support the hiring of sworn public safety officers for the purposes of fulfilling traditional public safety duties or to supplant traditional public safety positions and responsibilities. </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Activities and projects unrelated to the completion and implementation of the EMPG Program. </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Emergency response vehicles (i.e., command vehicles, mobile </w:t>
      </w:r>
      <w:r w:rsidR="00946C74" w:rsidRPr="00665266">
        <w:rPr>
          <w:color w:val="000000"/>
        </w:rPr>
        <w:t>EOC</w:t>
      </w:r>
      <w:r w:rsidRPr="00665266">
        <w:rPr>
          <w:color w:val="000000"/>
        </w:rPr>
        <w:t>s).</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Building construction projects (i.e., the physical construction of a new EOC).</w:t>
      </w:r>
    </w:p>
    <w:p w:rsidR="00A544AC" w:rsidRPr="00665266" w:rsidRDefault="00A544AC"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Incident Response Vehicles – The Department of Safety has a policy in place </w:t>
      </w:r>
      <w:r w:rsidRPr="00AC122B">
        <w:rPr>
          <w:b/>
          <w:color w:val="000000"/>
          <w:u w:val="single"/>
        </w:rPr>
        <w:t>NOT</w:t>
      </w:r>
      <w:r w:rsidRPr="00665266">
        <w:rPr>
          <w:color w:val="000000"/>
        </w:rPr>
        <w:t xml:space="preserve"> to fund incident response vehicles.</w:t>
      </w:r>
    </w:p>
    <w:p w:rsidR="00AC122B" w:rsidRPr="00943609" w:rsidRDefault="003F4E25" w:rsidP="00943609">
      <w:pPr>
        <w:numPr>
          <w:ilvl w:val="0"/>
          <w:numId w:val="13"/>
        </w:numPr>
        <w:tabs>
          <w:tab w:val="clear" w:pos="2160"/>
          <w:tab w:val="left" w:pos="0"/>
        </w:tabs>
        <w:autoSpaceDE w:val="0"/>
        <w:autoSpaceDN w:val="0"/>
        <w:adjustRightInd w:val="0"/>
        <w:spacing w:after="200" w:line="276" w:lineRule="auto"/>
        <w:ind w:left="810"/>
        <w:jc w:val="left"/>
        <w:rPr>
          <w:rFonts w:eastAsiaTheme="majorEastAsia" w:cstheme="majorBidi"/>
          <w:b/>
          <w:bCs/>
          <w:color w:val="FFFFFF" w:themeColor="background1"/>
          <w:sz w:val="28"/>
          <w:szCs w:val="28"/>
        </w:rPr>
      </w:pPr>
      <w:r w:rsidRPr="00943609">
        <w:rPr>
          <w:color w:val="000000"/>
        </w:rPr>
        <w:t xml:space="preserve">Other items not in accordance with the portions of the Authorized Equipment List (AEL) and allowable costs listed above. </w:t>
      </w:r>
      <w:r w:rsidR="00AC122B">
        <w:br w:type="page"/>
      </w:r>
    </w:p>
    <w:p w:rsidR="003F4E25" w:rsidRPr="00665266" w:rsidRDefault="003F4E25" w:rsidP="00152460">
      <w:pPr>
        <w:pStyle w:val="Heading1"/>
      </w:pPr>
      <w:bookmarkStart w:id="48" w:name="_Toc480368214"/>
      <w:r w:rsidRPr="00665266">
        <w:lastRenderedPageBreak/>
        <w:t>Waiver and Appeal Process</w:t>
      </w:r>
      <w:bookmarkEnd w:id="48"/>
    </w:p>
    <w:p w:rsidR="003F4E25" w:rsidRPr="00665266" w:rsidRDefault="003F4E25" w:rsidP="00F75E27">
      <w:pPr>
        <w:autoSpaceDE w:val="0"/>
        <w:autoSpaceDN w:val="0"/>
        <w:adjustRightInd w:val="0"/>
        <w:spacing w:after="120"/>
      </w:pPr>
      <w:r w:rsidRPr="00665266">
        <w:rPr>
          <w:b/>
        </w:rPr>
        <w:t>Waivers</w:t>
      </w:r>
      <w:r w:rsidRPr="00665266">
        <w:t xml:space="preserve"> – Waivers may be considered on a case-by-case basis and will be brought to the NH Department of Safety’s Commissioner by </w:t>
      </w:r>
      <w:r w:rsidR="00176F1A" w:rsidRPr="00665266">
        <w:t>HSEM</w:t>
      </w:r>
      <w:r w:rsidRPr="00665266">
        <w:t xml:space="preserve"> leadership (i.e., projects over $100</w:t>
      </w:r>
      <w:r w:rsidR="00687AE8" w:rsidRPr="00665266">
        <w:t>,000</w:t>
      </w:r>
      <w:r w:rsidRPr="00665266">
        <w:t>).</w:t>
      </w:r>
      <w:r w:rsidR="002956CA" w:rsidRPr="00665266">
        <w:t xml:space="preserve"> </w:t>
      </w:r>
      <w:r w:rsidRPr="00665266">
        <w:t>All ineligible applications may request a waiver from the Commissioner of Safety if there is overwhelming information that the project meets the overall mission of the EMPG Program.</w:t>
      </w:r>
      <w:r w:rsidR="002956CA" w:rsidRPr="00665266">
        <w:t xml:space="preserve"> </w:t>
      </w:r>
    </w:p>
    <w:p w:rsidR="00F7656F" w:rsidRPr="00665266" w:rsidRDefault="003F4E25" w:rsidP="00F75E27">
      <w:pPr>
        <w:autoSpaceDE w:val="0"/>
        <w:autoSpaceDN w:val="0"/>
        <w:adjustRightInd w:val="0"/>
        <w:spacing w:after="120"/>
      </w:pPr>
      <w:r w:rsidRPr="00665266">
        <w:rPr>
          <w:b/>
        </w:rPr>
        <w:t xml:space="preserve">Appeals </w:t>
      </w:r>
      <w:r w:rsidRPr="00665266">
        <w:t>– This process is designed to allow for appeals to be submitted in cases where there is overwhelming information that the project meets the overall mission of the EMPG Program.</w:t>
      </w:r>
      <w:r w:rsidR="002956CA" w:rsidRPr="00665266">
        <w:t xml:space="preserve"> </w:t>
      </w:r>
      <w:r w:rsidRPr="00665266">
        <w:t xml:space="preserve">Appeals will be brought to the NH Department of Safety’s Commissioner by </w:t>
      </w:r>
      <w:r w:rsidR="00176F1A" w:rsidRPr="00665266">
        <w:t>HSEM</w:t>
      </w:r>
      <w:r w:rsidRPr="00665266">
        <w:t xml:space="preserve"> leadership. An application/project that is denied can request appeal.</w:t>
      </w:r>
      <w:r w:rsidR="002956CA" w:rsidRPr="00665266">
        <w:t xml:space="preserve"> </w:t>
      </w:r>
      <w:r w:rsidRPr="00665266">
        <w:t xml:space="preserve">This is </w:t>
      </w:r>
      <w:r w:rsidRPr="00AC122B">
        <w:rPr>
          <w:b/>
          <w:u w:val="single"/>
        </w:rPr>
        <w:t>NOT</w:t>
      </w:r>
      <w:r w:rsidRPr="00665266">
        <w:t xml:space="preserve"> a routine appeal but an exception that can be exercised in very unusual cases.</w:t>
      </w:r>
    </w:p>
    <w:p w:rsidR="00B90C72" w:rsidRDefault="00B90C72">
      <w:pPr>
        <w:spacing w:after="200" w:line="276" w:lineRule="auto"/>
        <w:jc w:val="left"/>
        <w:rPr>
          <w:rFonts w:eastAsiaTheme="majorEastAsia" w:cstheme="majorBidi"/>
          <w:b/>
          <w:bCs/>
          <w:color w:val="FFFFFF" w:themeColor="background1"/>
          <w:sz w:val="28"/>
          <w:szCs w:val="28"/>
        </w:rPr>
      </w:pPr>
      <w:r>
        <w:br w:type="page"/>
      </w:r>
    </w:p>
    <w:p w:rsidR="00F7656F" w:rsidRPr="00AC122B" w:rsidRDefault="00F7656F" w:rsidP="00152460">
      <w:pPr>
        <w:pStyle w:val="Heading1"/>
      </w:pPr>
      <w:bookmarkStart w:id="49" w:name="_Toc480368215"/>
      <w:r w:rsidRPr="00665266">
        <w:lastRenderedPageBreak/>
        <w:t>Reporting Requirements</w:t>
      </w:r>
      <w:bookmarkEnd w:id="49"/>
    </w:p>
    <w:p w:rsidR="00F7656F" w:rsidRPr="00665266" w:rsidRDefault="00F7656F" w:rsidP="00F94EFB">
      <w:pPr>
        <w:pStyle w:val="Default"/>
        <w:spacing w:after="120"/>
        <w:jc w:val="center"/>
        <w:rPr>
          <w:rFonts w:asciiTheme="minorHAnsi" w:hAnsiTheme="minorHAnsi" w:cs="Times New Roman"/>
          <w:b/>
          <w:i/>
          <w:color w:val="C00000"/>
        </w:rPr>
      </w:pPr>
      <w:r w:rsidRPr="00665266">
        <w:rPr>
          <w:rFonts w:asciiTheme="minorHAnsi" w:hAnsiTheme="minorHAnsi" w:cs="Times New Roman"/>
          <w:b/>
          <w:i/>
          <w:color w:val="C00000"/>
        </w:rPr>
        <w:t>You must fully understand the following reporting requirements as you will be asked to certify this in your application.</w:t>
      </w:r>
    </w:p>
    <w:p w:rsidR="00E00C99" w:rsidRPr="00665266" w:rsidRDefault="00E00C99" w:rsidP="00152460">
      <w:pPr>
        <w:pStyle w:val="Heading2"/>
      </w:pPr>
      <w:bookmarkStart w:id="50" w:name="_Toc480368216"/>
      <w:r w:rsidRPr="00665266">
        <w:t>Federal Funding Accountability and Transparency Act</w:t>
      </w:r>
      <w:r w:rsidR="00A85114">
        <w:t xml:space="preserve"> (FFATA)</w:t>
      </w:r>
      <w:r w:rsidRPr="00665266">
        <w:t xml:space="preserve"> Reporting Mandate</w:t>
      </w:r>
      <w:bookmarkEnd w:id="50"/>
    </w:p>
    <w:p w:rsidR="00E00C99" w:rsidRPr="00665266" w:rsidRDefault="00E00C99" w:rsidP="00E00C99">
      <w:pPr>
        <w:pStyle w:val="Default"/>
        <w:spacing w:after="120"/>
        <w:jc w:val="both"/>
        <w:rPr>
          <w:rFonts w:asciiTheme="minorHAnsi" w:hAnsiTheme="minorHAnsi"/>
        </w:rPr>
      </w:pPr>
      <w:r w:rsidRPr="00665266">
        <w:rPr>
          <w:rFonts w:asciiTheme="minorHAnsi" w:hAnsiTheme="minorHAnsi"/>
        </w:rPr>
        <w:t xml:space="preserve">By law, all </w:t>
      </w:r>
      <w:r w:rsidR="000E1DF5">
        <w:rPr>
          <w:rFonts w:asciiTheme="minorHAnsi" w:hAnsiTheme="minorHAnsi"/>
        </w:rPr>
        <w:t>Subrecipient</w:t>
      </w:r>
      <w:r w:rsidRPr="00665266">
        <w:rPr>
          <w:rFonts w:asciiTheme="minorHAnsi" w:hAnsiTheme="minorHAnsi"/>
        </w:rPr>
        <w:t>s receiving Federal awards totaling $25,000.00 or more are subject to the Federal Funding Accountability and Transparency Act (FFATA) reporting requirements.</w:t>
      </w:r>
      <w:r w:rsidR="002956CA" w:rsidRPr="00665266">
        <w:rPr>
          <w:rFonts w:asciiTheme="minorHAnsi" w:hAnsiTheme="minorHAnsi"/>
        </w:rPr>
        <w:t xml:space="preserve"> </w:t>
      </w:r>
      <w:r w:rsidRPr="00665266">
        <w:rPr>
          <w:rFonts w:asciiTheme="minorHAnsi" w:hAnsiTheme="minorHAnsi"/>
        </w:rPr>
        <w:t xml:space="preserve">These </w:t>
      </w:r>
      <w:r w:rsidR="000E1DF5">
        <w:rPr>
          <w:rFonts w:asciiTheme="minorHAnsi" w:hAnsiTheme="minorHAnsi"/>
        </w:rPr>
        <w:t>Subrecipient</w:t>
      </w:r>
      <w:r w:rsidRPr="00665266">
        <w:rPr>
          <w:rFonts w:asciiTheme="minorHAnsi" w:hAnsiTheme="minorHAnsi"/>
        </w:rPr>
        <w:t xml:space="preserve">s </w:t>
      </w:r>
      <w:r w:rsidRPr="00665266">
        <w:rPr>
          <w:rFonts w:asciiTheme="minorHAnsi" w:hAnsiTheme="minorHAnsi"/>
          <w:b/>
          <w:i/>
          <w:u w:val="single"/>
        </w:rPr>
        <w:t>must</w:t>
      </w:r>
      <w:r w:rsidRPr="00665266">
        <w:rPr>
          <w:rFonts w:asciiTheme="minorHAnsi" w:hAnsiTheme="minorHAnsi"/>
        </w:rPr>
        <w:t xml:space="preserve"> complete and return a FFATA </w:t>
      </w:r>
      <w:r w:rsidR="000E1DF5">
        <w:rPr>
          <w:rFonts w:asciiTheme="minorHAnsi" w:hAnsiTheme="minorHAnsi"/>
        </w:rPr>
        <w:t>Subrecipient</w:t>
      </w:r>
      <w:r w:rsidRPr="00665266">
        <w:rPr>
          <w:rFonts w:asciiTheme="minorHAnsi" w:hAnsiTheme="minorHAnsi"/>
        </w:rPr>
        <w:t xml:space="preserve"> Information Reporting Form along with their executed grant agreement in order to continue the approval process. </w:t>
      </w:r>
      <w:r w:rsidR="00394711" w:rsidRPr="00665266">
        <w:rPr>
          <w:rFonts w:asciiTheme="minorHAnsi" w:hAnsiTheme="minorHAnsi"/>
        </w:rPr>
        <w:t>This form can be</w:t>
      </w:r>
      <w:r w:rsidR="00B90C72">
        <w:rPr>
          <w:rFonts w:asciiTheme="minorHAnsi" w:hAnsiTheme="minorHAnsi"/>
        </w:rPr>
        <w:t xml:space="preserve"> found</w:t>
      </w:r>
      <w:r w:rsidR="00394711" w:rsidRPr="00665266">
        <w:rPr>
          <w:rFonts w:asciiTheme="minorHAnsi" w:hAnsiTheme="minorHAnsi"/>
        </w:rPr>
        <w:t xml:space="preserve"> on HSEM’s Resource Center at:</w:t>
      </w:r>
      <w:r w:rsidR="002956CA" w:rsidRPr="00665266">
        <w:rPr>
          <w:rFonts w:asciiTheme="minorHAnsi" w:hAnsiTheme="minorHAnsi"/>
        </w:rPr>
        <w:t xml:space="preserve"> </w:t>
      </w:r>
      <w:hyperlink r:id="rId51" w:history="1">
        <w:r w:rsidR="00394711" w:rsidRPr="00665266">
          <w:rPr>
            <w:rStyle w:val="Hyperlink"/>
            <w:rFonts w:asciiTheme="minorHAnsi" w:hAnsiTheme="minorHAnsi"/>
          </w:rPr>
          <w:t>https://apps.nh.gov/blogs/hsem/?page_id=419</w:t>
        </w:r>
      </w:hyperlink>
      <w:r w:rsidR="00394711" w:rsidRPr="00665266">
        <w:rPr>
          <w:rFonts w:asciiTheme="minorHAnsi" w:hAnsiTheme="minorHAnsi"/>
        </w:rPr>
        <w:t xml:space="preserve"> </w:t>
      </w:r>
    </w:p>
    <w:p w:rsidR="00AC4589" w:rsidRPr="00665266" w:rsidRDefault="00AC4589" w:rsidP="00152460">
      <w:pPr>
        <w:pStyle w:val="Heading2"/>
      </w:pPr>
      <w:bookmarkStart w:id="51" w:name="_Toc480368217"/>
      <w:r w:rsidRPr="00665266">
        <w:t>Quarterly Progress Reporting</w:t>
      </w:r>
      <w:bookmarkEnd w:id="51"/>
    </w:p>
    <w:p w:rsidR="00AC4589" w:rsidRPr="00665266" w:rsidRDefault="000E1DF5" w:rsidP="00B90C72">
      <w:pPr>
        <w:pStyle w:val="Default"/>
        <w:spacing w:after="120"/>
        <w:jc w:val="both"/>
        <w:rPr>
          <w:rFonts w:asciiTheme="minorHAnsi" w:hAnsiTheme="minorHAnsi" w:cs="Times New Roman"/>
        </w:rPr>
      </w:pPr>
      <w:r>
        <w:rPr>
          <w:rFonts w:asciiTheme="minorHAnsi" w:hAnsiTheme="minorHAnsi" w:cs="Times New Roman"/>
        </w:rPr>
        <w:t>Subrecipient</w:t>
      </w:r>
      <w:r w:rsidR="00AC4589" w:rsidRPr="00665266">
        <w:rPr>
          <w:rFonts w:asciiTheme="minorHAnsi" w:hAnsiTheme="minorHAnsi" w:cs="Times New Roman"/>
        </w:rPr>
        <w:t xml:space="preserve">s are </w:t>
      </w:r>
      <w:r w:rsidR="00AC4589" w:rsidRPr="00665266">
        <w:rPr>
          <w:rFonts w:asciiTheme="minorHAnsi" w:hAnsiTheme="minorHAnsi" w:cs="Times New Roman"/>
          <w:b/>
          <w:i/>
          <w:u w:val="single"/>
        </w:rPr>
        <w:t>required</w:t>
      </w:r>
      <w:r w:rsidR="00AC4589" w:rsidRPr="00665266">
        <w:rPr>
          <w:rFonts w:asciiTheme="minorHAnsi" w:hAnsiTheme="minorHAnsi" w:cs="Times New Roman"/>
          <w:b/>
          <w:i/>
        </w:rPr>
        <w:t xml:space="preserve"> </w:t>
      </w:r>
      <w:r w:rsidR="00AC4589" w:rsidRPr="00665266">
        <w:rPr>
          <w:rFonts w:asciiTheme="minorHAnsi" w:hAnsiTheme="minorHAnsi" w:cs="Times New Roman"/>
        </w:rPr>
        <w:t>to submit Quarterly Progress Reports (QPRs) that provide sufficient detail to measure progress of the funded project(s).</w:t>
      </w:r>
      <w:r w:rsidR="002956CA" w:rsidRPr="00665266">
        <w:rPr>
          <w:rFonts w:asciiTheme="minorHAnsi" w:hAnsiTheme="minorHAnsi" w:cs="Times New Roman"/>
        </w:rPr>
        <w:t xml:space="preserve"> </w:t>
      </w:r>
      <w:r w:rsidR="00884CAB">
        <w:rPr>
          <w:rFonts w:asciiTheme="minorHAnsi" w:hAnsiTheme="minorHAnsi" w:cs="Times New Roman"/>
        </w:rPr>
        <w:t xml:space="preserve">Reimbursements will </w:t>
      </w:r>
      <w:r w:rsidR="00273D54">
        <w:rPr>
          <w:rFonts w:asciiTheme="minorHAnsi" w:hAnsiTheme="minorHAnsi" w:cs="Times New Roman"/>
        </w:rPr>
        <w:t>NOT</w:t>
      </w:r>
      <w:r w:rsidR="00884CAB">
        <w:rPr>
          <w:rFonts w:asciiTheme="minorHAnsi" w:hAnsiTheme="minorHAnsi" w:cs="Times New Roman"/>
        </w:rPr>
        <w:t xml:space="preserve"> be made if a Subrecipient is delinquent with their QPRs. </w:t>
      </w:r>
      <w:r w:rsidR="00AC4589" w:rsidRPr="00665266">
        <w:rPr>
          <w:rFonts w:asciiTheme="minorHAnsi" w:hAnsiTheme="minorHAnsi" w:cs="Times New Roman"/>
        </w:rPr>
        <w:t xml:space="preserve"> The EMPG QPR form is available on the HSEM Resource Center at: </w:t>
      </w:r>
      <w:hyperlink r:id="rId52" w:history="1">
        <w:r w:rsidR="00AC4589" w:rsidRPr="00665266">
          <w:rPr>
            <w:rStyle w:val="Hyperlink"/>
            <w:rFonts w:asciiTheme="minorHAnsi" w:hAnsiTheme="minorHAnsi"/>
          </w:rPr>
          <w:t>https://apps.nh.gov/blogs/hsem/?page_id=2666</w:t>
        </w:r>
      </w:hyperlink>
      <w:r w:rsidR="00B90C72">
        <w:rPr>
          <w:rStyle w:val="Hyperlink"/>
          <w:rFonts w:asciiTheme="minorHAnsi" w:hAnsiTheme="minorHAnsi"/>
        </w:rPr>
        <w:t>.</w:t>
      </w:r>
      <w:r w:rsidR="002956CA" w:rsidRPr="00665266">
        <w:rPr>
          <w:rFonts w:asciiTheme="minorHAnsi" w:hAnsiTheme="minorHAnsi"/>
        </w:rPr>
        <w:t xml:space="preserve"> </w:t>
      </w:r>
    </w:p>
    <w:p w:rsidR="00AC4589" w:rsidRPr="00665266" w:rsidRDefault="00662D1B" w:rsidP="00AC4589">
      <w:pPr>
        <w:pStyle w:val="Default"/>
        <w:spacing w:after="120"/>
        <w:jc w:val="both"/>
        <w:rPr>
          <w:rFonts w:asciiTheme="minorHAnsi" w:hAnsiTheme="minorHAnsi" w:cs="Times New Roman"/>
        </w:rPr>
      </w:pPr>
      <w:r w:rsidRPr="00665266">
        <w:rPr>
          <w:rFonts w:asciiTheme="minorHAnsi" w:hAnsiTheme="minorHAnsi" w:cs="Times New Roman"/>
        </w:rPr>
        <w:t>The following reporting periods and d</w:t>
      </w:r>
      <w:r w:rsidR="00AC4589" w:rsidRPr="00665266">
        <w:rPr>
          <w:rFonts w:asciiTheme="minorHAnsi" w:hAnsiTheme="minorHAnsi" w:cs="Times New Roman"/>
        </w:rPr>
        <w:t xml:space="preserve">ue dates </w:t>
      </w:r>
      <w:r w:rsidRPr="00665266">
        <w:rPr>
          <w:rFonts w:asciiTheme="minorHAnsi" w:hAnsiTheme="minorHAnsi" w:cs="Times New Roman"/>
        </w:rPr>
        <w:t>apply</w:t>
      </w:r>
      <w:r w:rsidR="00AC4589" w:rsidRPr="00665266">
        <w:rPr>
          <w:rFonts w:asciiTheme="minorHAnsi" w:hAnsiTheme="minorHAnsi" w:cs="Times New Roman"/>
        </w:rPr>
        <w:t>:</w:t>
      </w:r>
    </w:p>
    <w:p w:rsidR="00662D1B" w:rsidRPr="00665266" w:rsidRDefault="00662D1B" w:rsidP="00AC4589">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r>
      <w:r w:rsidRPr="00665266">
        <w:rPr>
          <w:rFonts w:asciiTheme="minorHAnsi" w:hAnsiTheme="minorHAnsi" w:cs="Times New Roman"/>
          <w:b/>
          <w:u w:val="single"/>
        </w:rPr>
        <w:t>Reporting Period</w:t>
      </w:r>
      <w:r w:rsidRPr="00665266">
        <w:rPr>
          <w:rFonts w:asciiTheme="minorHAnsi" w:hAnsiTheme="minorHAnsi" w:cs="Times New Roman"/>
        </w:rPr>
        <w:tab/>
      </w:r>
      <w:r w:rsidRPr="00665266">
        <w:rPr>
          <w:rFonts w:asciiTheme="minorHAnsi" w:hAnsiTheme="minorHAnsi" w:cs="Times New Roman"/>
        </w:rPr>
        <w:tab/>
      </w:r>
      <w:r w:rsidRPr="00665266">
        <w:rPr>
          <w:rFonts w:asciiTheme="minorHAnsi" w:hAnsiTheme="minorHAnsi" w:cs="Times New Roman"/>
        </w:rPr>
        <w:tab/>
      </w:r>
      <w:r w:rsidRPr="00665266">
        <w:rPr>
          <w:rFonts w:asciiTheme="minorHAnsi" w:hAnsiTheme="minorHAnsi" w:cs="Times New Roman"/>
          <w:b/>
          <w:u w:val="single"/>
        </w:rPr>
        <w:t>Report Due Date</w:t>
      </w:r>
    </w:p>
    <w:p w:rsidR="00AC4589" w:rsidRPr="00665266" w:rsidRDefault="00662D1B" w:rsidP="00662D1B">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January 1 to March 31</w:t>
      </w: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April 15</w:t>
      </w:r>
    </w:p>
    <w:p w:rsidR="00AC4589" w:rsidRPr="00665266" w:rsidRDefault="00662D1B" w:rsidP="00662D1B">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 xml:space="preserve">April 1 to June 30 </w:t>
      </w:r>
      <w:r w:rsidRPr="00665266">
        <w:rPr>
          <w:rFonts w:asciiTheme="minorHAnsi" w:hAnsiTheme="minorHAnsi" w:cs="Times New Roman"/>
        </w:rPr>
        <w:tab/>
      </w: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July 15</w:t>
      </w:r>
      <w:r w:rsidR="00AC4589" w:rsidRPr="00665266">
        <w:rPr>
          <w:rFonts w:asciiTheme="minorHAnsi" w:hAnsiTheme="minorHAnsi" w:cs="Times New Roman"/>
        </w:rPr>
        <w:tab/>
      </w:r>
    </w:p>
    <w:p w:rsidR="00AC4589" w:rsidRPr="00665266" w:rsidRDefault="00662D1B" w:rsidP="00662D1B">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 xml:space="preserve">July 1 to September 30 </w:t>
      </w: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October 15</w:t>
      </w:r>
    </w:p>
    <w:p w:rsidR="00AC4589" w:rsidRPr="00665266" w:rsidRDefault="00662D1B" w:rsidP="00662D1B">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t xml:space="preserve">October 1 to December 31 </w:t>
      </w: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January 15</w:t>
      </w:r>
    </w:p>
    <w:p w:rsidR="00E00C99" w:rsidRPr="00665266" w:rsidRDefault="00E00C99" w:rsidP="00152460">
      <w:pPr>
        <w:pStyle w:val="Heading2"/>
      </w:pPr>
      <w:bookmarkStart w:id="52" w:name="_Toc480368218"/>
      <w:r w:rsidRPr="00665266">
        <w:t>Compliance of Audit Requirements</w:t>
      </w:r>
      <w:bookmarkEnd w:id="52"/>
    </w:p>
    <w:p w:rsidR="00E00C99" w:rsidRPr="00665266" w:rsidRDefault="000E4246" w:rsidP="00E00C99">
      <w:pPr>
        <w:tabs>
          <w:tab w:val="left" w:pos="5760"/>
        </w:tabs>
      </w:pPr>
      <w:r>
        <w:t xml:space="preserve">All non-Federal entities that expend $750,000 or more in federal awards during a Subrecipient’s fiscal year are required to obtain a single audit in accordance with the </w:t>
      </w:r>
      <w:r w:rsidR="00E00C99" w:rsidRPr="00665266">
        <w:t xml:space="preserve">Single Audit Act </w:t>
      </w:r>
      <w:r>
        <w:t>Amendments of 1996, Office of Management and Budget (OMB) Circular A-133 – Audits of State, Local Governments and Non-Profit Organizations, the OMB Circular A-133 Compliance Supplement and Government Auditing Standards</w:t>
      </w:r>
      <w:r w:rsidRPr="007C6175">
        <w:t xml:space="preserve">. </w:t>
      </w:r>
      <w:r w:rsidR="00E00C99" w:rsidRPr="007C6175">
        <w:t xml:space="preserve"> All </w:t>
      </w:r>
      <w:r w:rsidR="000E1DF5" w:rsidRPr="007C6175">
        <w:t>Subrecipient</w:t>
      </w:r>
      <w:r w:rsidR="00E00C99" w:rsidRPr="007C6175">
        <w:t xml:space="preserve">s are required to certify and return the </w:t>
      </w:r>
      <w:r w:rsidR="008A5CB4">
        <w:rPr>
          <w:i/>
        </w:rPr>
        <w:t xml:space="preserve">Audit </w:t>
      </w:r>
      <w:r w:rsidR="00E00C99" w:rsidRPr="007C6175">
        <w:rPr>
          <w:i/>
        </w:rPr>
        <w:t>Certification</w:t>
      </w:r>
      <w:r w:rsidR="00E00C99" w:rsidRPr="007C6175">
        <w:t xml:space="preserve"> </w:t>
      </w:r>
      <w:r w:rsidR="00E00C99" w:rsidRPr="007C6175">
        <w:rPr>
          <w:i/>
        </w:rPr>
        <w:t xml:space="preserve">Form </w:t>
      </w:r>
      <w:r w:rsidR="00E00C99" w:rsidRPr="007C6175">
        <w:t xml:space="preserve">no later than </w:t>
      </w:r>
      <w:r w:rsidR="00E577F9" w:rsidRPr="007C6175">
        <w:t xml:space="preserve">sixty (60) days </w:t>
      </w:r>
      <w:r w:rsidR="00E00C99" w:rsidRPr="007C6175">
        <w:t xml:space="preserve">from the </w:t>
      </w:r>
      <w:r w:rsidR="000E1DF5" w:rsidRPr="007C6175">
        <w:t>Subrecipient</w:t>
      </w:r>
      <w:r w:rsidR="00E00C99" w:rsidRPr="007C6175">
        <w:t>’s fiscal year end date in which reimbursement is received.</w:t>
      </w:r>
      <w:r w:rsidR="002956CA" w:rsidRPr="007C6175">
        <w:t xml:space="preserve"> </w:t>
      </w:r>
      <w:r w:rsidR="00E00C99" w:rsidRPr="007C6175">
        <w:t xml:space="preserve">If applicable, </w:t>
      </w:r>
      <w:r w:rsidR="000E1DF5" w:rsidRPr="007C6175">
        <w:t>Subrecipient</w:t>
      </w:r>
      <w:r w:rsidR="00E00C99" w:rsidRPr="007C6175">
        <w:t xml:space="preserve">s </w:t>
      </w:r>
      <w:r w:rsidR="00E00C99" w:rsidRPr="007C6175">
        <w:rPr>
          <w:b/>
          <w:i/>
          <w:u w:val="single"/>
        </w:rPr>
        <w:t>must</w:t>
      </w:r>
      <w:r w:rsidR="00E00C99" w:rsidRPr="007C6175">
        <w:t xml:space="preserve"> </w:t>
      </w:r>
      <w:r w:rsidR="00E577F9" w:rsidRPr="007C6175">
        <w:t xml:space="preserve">submit </w:t>
      </w:r>
      <w:r w:rsidR="00E00C99" w:rsidRPr="007C6175">
        <w:t>a copy of their A-133 Audit Report</w:t>
      </w:r>
      <w:r w:rsidR="00E577F9" w:rsidRPr="007C6175">
        <w:t xml:space="preserve"> within </w:t>
      </w:r>
      <w:r w:rsidR="007C6175" w:rsidRPr="007C6175">
        <w:t>nine (9) months of their fiscal year end*</w:t>
      </w:r>
      <w:r w:rsidR="00E00C99" w:rsidRPr="007C6175">
        <w:t>.</w:t>
      </w:r>
      <w:r w:rsidR="00273D54" w:rsidRPr="007C6175">
        <w:t xml:space="preserve"> The </w:t>
      </w:r>
      <w:r w:rsidR="00273D54" w:rsidRPr="007C6175">
        <w:rPr>
          <w:i/>
        </w:rPr>
        <w:t>Audit Certification Form</w:t>
      </w:r>
      <w:r w:rsidR="00273D54" w:rsidRPr="007C6175">
        <w:t xml:space="preserve"> can be found on HSEM’s Resource Center located here: </w:t>
      </w:r>
      <w:hyperlink r:id="rId53" w:history="1">
        <w:r w:rsidR="00273D54" w:rsidRPr="007C6175">
          <w:rPr>
            <w:rStyle w:val="Hyperlink"/>
          </w:rPr>
          <w:t>https://apps.nh.gov/blogs/hsem/?page_id=419</w:t>
        </w:r>
      </w:hyperlink>
      <w:r w:rsidR="00273D54" w:rsidRPr="007C6175">
        <w:t xml:space="preserve"> </w:t>
      </w:r>
      <w:r w:rsidR="00B90BC2" w:rsidRPr="007C6175">
        <w:t xml:space="preserve">and </w:t>
      </w:r>
      <w:r w:rsidR="00B90BC2" w:rsidRPr="007C6175">
        <w:rPr>
          <w:b/>
          <w:i/>
          <w:u w:val="single"/>
        </w:rPr>
        <w:t>must</w:t>
      </w:r>
      <w:r w:rsidR="00B90BC2" w:rsidRPr="007C6175">
        <w:t xml:space="preserve"> be completed by the Chief Financial Officer, Business Manager, Treasurer or other person responsible for the financial records of the organization.</w:t>
      </w:r>
      <w:r w:rsidR="00B90BC2">
        <w:t xml:space="preserve"> </w:t>
      </w:r>
    </w:p>
    <w:p w:rsidR="00E00C99" w:rsidRPr="00665266" w:rsidRDefault="007C6175" w:rsidP="00B90C72">
      <w:pPr>
        <w:tabs>
          <w:tab w:val="left" w:pos="5760"/>
        </w:tabs>
        <w:jc w:val="left"/>
        <w:rPr>
          <w:b/>
        </w:rPr>
      </w:pPr>
      <w:r>
        <w:rPr>
          <w:b/>
        </w:rPr>
        <w:t>*</w:t>
      </w:r>
      <w:r w:rsidR="00E00C99" w:rsidRPr="00665266">
        <w:rPr>
          <w:b/>
        </w:rPr>
        <w:t>Example</w:t>
      </w:r>
      <w:r w:rsidR="00B3580C" w:rsidRPr="00665266">
        <w:rPr>
          <w:b/>
        </w:rPr>
        <w:t>s</w:t>
      </w:r>
    </w:p>
    <w:tbl>
      <w:tblPr>
        <w:tblStyle w:val="TableGrid"/>
        <w:tblW w:w="7302" w:type="dxa"/>
        <w:tblInd w:w="1392" w:type="dxa"/>
        <w:tblLook w:val="04A0" w:firstRow="1" w:lastRow="0" w:firstColumn="1" w:lastColumn="0" w:noHBand="0" w:noVBand="1"/>
      </w:tblPr>
      <w:tblGrid>
        <w:gridCol w:w="3870"/>
        <w:gridCol w:w="3432"/>
      </w:tblGrid>
      <w:tr w:rsidR="00E00C99" w:rsidRPr="00665266" w:rsidTr="00B90C72">
        <w:tc>
          <w:tcPr>
            <w:tcW w:w="3870" w:type="dxa"/>
            <w:shd w:val="clear" w:color="auto" w:fill="062741"/>
          </w:tcPr>
          <w:p w:rsidR="00E00C99" w:rsidRPr="002D3C6D" w:rsidRDefault="00E00C99" w:rsidP="00DB1B53">
            <w:pPr>
              <w:tabs>
                <w:tab w:val="left" w:pos="5760"/>
              </w:tabs>
              <w:jc w:val="center"/>
              <w:rPr>
                <w:b/>
                <w:sz w:val="22"/>
                <w:szCs w:val="22"/>
              </w:rPr>
            </w:pPr>
            <w:r w:rsidRPr="002D3C6D">
              <w:rPr>
                <w:b/>
                <w:sz w:val="22"/>
                <w:szCs w:val="22"/>
              </w:rPr>
              <w:t>Fiscal Year Reimbursement Received</w:t>
            </w:r>
          </w:p>
        </w:tc>
        <w:tc>
          <w:tcPr>
            <w:tcW w:w="3432" w:type="dxa"/>
            <w:shd w:val="clear" w:color="auto" w:fill="062741"/>
          </w:tcPr>
          <w:p w:rsidR="00E00C99" w:rsidRPr="002D3C6D" w:rsidRDefault="007C6175" w:rsidP="00DB1B53">
            <w:pPr>
              <w:tabs>
                <w:tab w:val="left" w:pos="5760"/>
              </w:tabs>
              <w:jc w:val="center"/>
              <w:rPr>
                <w:b/>
                <w:sz w:val="22"/>
                <w:szCs w:val="22"/>
              </w:rPr>
            </w:pPr>
            <w:r w:rsidRPr="002D3C6D">
              <w:rPr>
                <w:b/>
                <w:sz w:val="22"/>
                <w:szCs w:val="22"/>
              </w:rPr>
              <w:t xml:space="preserve">A-133 </w:t>
            </w:r>
            <w:r w:rsidR="00E00C99" w:rsidRPr="002D3C6D">
              <w:rPr>
                <w:b/>
                <w:sz w:val="22"/>
                <w:szCs w:val="22"/>
              </w:rPr>
              <w:t>Audit Return By Date</w:t>
            </w:r>
          </w:p>
        </w:tc>
      </w:tr>
      <w:tr w:rsidR="00E00C99" w:rsidRPr="00665266" w:rsidTr="00DB1B53">
        <w:tc>
          <w:tcPr>
            <w:tcW w:w="3870" w:type="dxa"/>
          </w:tcPr>
          <w:p w:rsidR="00E00C99" w:rsidRPr="002D3C6D" w:rsidRDefault="00E00C99" w:rsidP="00DB1B53">
            <w:pPr>
              <w:tabs>
                <w:tab w:val="left" w:pos="5760"/>
              </w:tabs>
              <w:jc w:val="center"/>
              <w:rPr>
                <w:sz w:val="22"/>
                <w:szCs w:val="22"/>
              </w:rPr>
            </w:pPr>
            <w:r w:rsidRPr="002D3C6D">
              <w:rPr>
                <w:sz w:val="22"/>
                <w:szCs w:val="22"/>
              </w:rPr>
              <w:t>January 1, 2016 – Dec. 31, 2016</w:t>
            </w:r>
          </w:p>
        </w:tc>
        <w:tc>
          <w:tcPr>
            <w:tcW w:w="3432" w:type="dxa"/>
          </w:tcPr>
          <w:p w:rsidR="00E00C99" w:rsidRPr="002D3C6D" w:rsidRDefault="00E00C99" w:rsidP="00DB1B53">
            <w:pPr>
              <w:tabs>
                <w:tab w:val="left" w:pos="5760"/>
              </w:tabs>
              <w:jc w:val="center"/>
              <w:rPr>
                <w:sz w:val="22"/>
                <w:szCs w:val="22"/>
              </w:rPr>
            </w:pPr>
            <w:r w:rsidRPr="002D3C6D">
              <w:rPr>
                <w:sz w:val="22"/>
                <w:szCs w:val="22"/>
              </w:rPr>
              <w:t>September 30, 2017</w:t>
            </w:r>
          </w:p>
        </w:tc>
      </w:tr>
      <w:tr w:rsidR="00E00C99" w:rsidRPr="00665266" w:rsidTr="00DB1B53">
        <w:tc>
          <w:tcPr>
            <w:tcW w:w="3870" w:type="dxa"/>
          </w:tcPr>
          <w:p w:rsidR="00E00C99" w:rsidRPr="002D3C6D" w:rsidRDefault="00E00C99" w:rsidP="00DB1B53">
            <w:pPr>
              <w:tabs>
                <w:tab w:val="left" w:pos="5760"/>
              </w:tabs>
              <w:jc w:val="center"/>
              <w:rPr>
                <w:sz w:val="22"/>
                <w:szCs w:val="22"/>
              </w:rPr>
            </w:pPr>
            <w:r w:rsidRPr="002D3C6D">
              <w:rPr>
                <w:sz w:val="22"/>
                <w:szCs w:val="22"/>
              </w:rPr>
              <w:t>July 1, 2016 – June 30, 2017</w:t>
            </w:r>
          </w:p>
        </w:tc>
        <w:tc>
          <w:tcPr>
            <w:tcW w:w="3432" w:type="dxa"/>
          </w:tcPr>
          <w:p w:rsidR="00E00C99" w:rsidRPr="002D3C6D" w:rsidRDefault="00E00C99" w:rsidP="00DB1B53">
            <w:pPr>
              <w:tabs>
                <w:tab w:val="left" w:pos="5760"/>
              </w:tabs>
              <w:jc w:val="center"/>
              <w:rPr>
                <w:sz w:val="22"/>
                <w:szCs w:val="22"/>
              </w:rPr>
            </w:pPr>
            <w:r w:rsidRPr="002D3C6D">
              <w:rPr>
                <w:sz w:val="22"/>
                <w:szCs w:val="22"/>
              </w:rPr>
              <w:t>March 31, 2018</w:t>
            </w:r>
          </w:p>
        </w:tc>
      </w:tr>
    </w:tbl>
    <w:p w:rsidR="00B752E0" w:rsidRPr="00665266" w:rsidRDefault="00B752E0" w:rsidP="00152460">
      <w:pPr>
        <w:pStyle w:val="Heading1"/>
        <w:rPr>
          <w:sz w:val="16"/>
          <w:szCs w:val="16"/>
        </w:rPr>
      </w:pPr>
      <w:bookmarkStart w:id="53" w:name="_Toc480368219"/>
      <w:r w:rsidRPr="00665266">
        <w:lastRenderedPageBreak/>
        <w:t>Close Out Process</w:t>
      </w:r>
      <w:bookmarkEnd w:id="53"/>
    </w:p>
    <w:p w:rsidR="00AC4589" w:rsidRPr="00665266" w:rsidRDefault="00D578D2" w:rsidP="00E71538">
      <w:pPr>
        <w:pStyle w:val="Default"/>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 xml:space="preserve">Within 30 days after the grant’s expiration date, the </w:t>
      </w:r>
      <w:r w:rsidR="000E1DF5">
        <w:rPr>
          <w:rFonts w:asciiTheme="minorHAnsi" w:hAnsiTheme="minorHAnsi" w:cs="Times New Roman"/>
          <w:color w:val="000000" w:themeColor="text1"/>
        </w:rPr>
        <w:t>Subrecipient</w:t>
      </w:r>
      <w:r w:rsidRPr="00665266">
        <w:rPr>
          <w:rFonts w:asciiTheme="minorHAnsi" w:hAnsiTheme="minorHAnsi" w:cs="Times New Roman"/>
          <w:color w:val="000000" w:themeColor="text1"/>
        </w:rPr>
        <w:t xml:space="preserve"> </w:t>
      </w:r>
      <w:r w:rsidRPr="00AC72D7">
        <w:rPr>
          <w:rFonts w:asciiTheme="minorHAnsi" w:hAnsiTheme="minorHAnsi" w:cs="Times New Roman"/>
          <w:b/>
          <w:i/>
          <w:color w:val="000000" w:themeColor="text1"/>
          <w:u w:val="single"/>
        </w:rPr>
        <w:t>must</w:t>
      </w:r>
      <w:r w:rsidRPr="00665266">
        <w:rPr>
          <w:rFonts w:asciiTheme="minorHAnsi" w:hAnsiTheme="minorHAnsi" w:cs="Times New Roman"/>
          <w:color w:val="000000" w:themeColor="text1"/>
        </w:rPr>
        <w:t xml:space="preserve"> submit all financial, performance, and other reports required as a condition of the grant</w:t>
      </w:r>
      <w:r w:rsidR="001051E7" w:rsidRPr="00665266">
        <w:rPr>
          <w:rFonts w:asciiTheme="minorHAnsi" w:hAnsiTheme="minorHAnsi" w:cs="Times New Roman"/>
          <w:color w:val="000000" w:themeColor="text1"/>
        </w:rPr>
        <w:t xml:space="preserve"> to include the following:</w:t>
      </w:r>
    </w:p>
    <w:p w:rsidR="00D578D2" w:rsidRPr="00665266" w:rsidRDefault="00D578D2"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 xml:space="preserve">Final request for </w:t>
      </w:r>
      <w:r w:rsidR="00B3580C" w:rsidRPr="00665266">
        <w:rPr>
          <w:rFonts w:asciiTheme="minorHAnsi" w:hAnsiTheme="minorHAnsi" w:cs="Times New Roman"/>
          <w:color w:val="000000" w:themeColor="text1"/>
        </w:rPr>
        <w:t>reimbursement</w:t>
      </w:r>
      <w:r w:rsidR="00B90C72">
        <w:rPr>
          <w:rFonts w:asciiTheme="minorHAnsi" w:hAnsiTheme="minorHAnsi" w:cs="Times New Roman"/>
          <w:color w:val="000000" w:themeColor="text1"/>
        </w:rPr>
        <w:t>,</w:t>
      </w:r>
    </w:p>
    <w:p w:rsidR="00B3580C" w:rsidRPr="00665266" w:rsidRDefault="00B3580C"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Final Quarterly Progress Report</w:t>
      </w:r>
      <w:r w:rsidR="001051E7" w:rsidRPr="00665266">
        <w:rPr>
          <w:rFonts w:asciiTheme="minorHAnsi" w:hAnsiTheme="minorHAnsi" w:cs="Times New Roman"/>
          <w:color w:val="000000" w:themeColor="text1"/>
        </w:rPr>
        <w:t>s</w:t>
      </w:r>
      <w:r w:rsidR="00B90C72">
        <w:rPr>
          <w:rFonts w:asciiTheme="minorHAnsi" w:hAnsiTheme="minorHAnsi" w:cs="Times New Roman"/>
          <w:color w:val="000000" w:themeColor="text1"/>
        </w:rPr>
        <w:t>,</w:t>
      </w:r>
    </w:p>
    <w:p w:rsidR="00EB6331" w:rsidRPr="00665266" w:rsidRDefault="00EB6331"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Final Performance and Expenditure Report</w:t>
      </w:r>
      <w:r w:rsidR="00B90C72">
        <w:rPr>
          <w:rFonts w:asciiTheme="minorHAnsi" w:hAnsiTheme="minorHAnsi" w:cs="Times New Roman"/>
          <w:color w:val="000000" w:themeColor="text1"/>
        </w:rPr>
        <w:t>,</w:t>
      </w:r>
    </w:p>
    <w:p w:rsidR="001051E7" w:rsidRPr="00665266" w:rsidRDefault="001051E7"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Equipment Inventory Forms</w:t>
      </w:r>
      <w:r w:rsidR="00EA2005" w:rsidRPr="00665266">
        <w:rPr>
          <w:rFonts w:asciiTheme="minorHAnsi" w:hAnsiTheme="minorHAnsi" w:cs="Times New Roman"/>
          <w:color w:val="000000" w:themeColor="text1"/>
        </w:rPr>
        <w:t xml:space="preserve"> with accompanying photos</w:t>
      </w:r>
      <w:r w:rsidR="00B90C72">
        <w:rPr>
          <w:rFonts w:asciiTheme="minorHAnsi" w:hAnsiTheme="minorHAnsi" w:cs="Times New Roman"/>
          <w:color w:val="000000" w:themeColor="text1"/>
        </w:rPr>
        <w:t>,</w:t>
      </w:r>
    </w:p>
    <w:p w:rsidR="001051E7" w:rsidRPr="00665266" w:rsidRDefault="001051E7"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Copy of any plans developed with grant funding</w:t>
      </w:r>
      <w:r w:rsidR="00B90C72">
        <w:rPr>
          <w:rFonts w:asciiTheme="minorHAnsi" w:hAnsiTheme="minorHAnsi" w:cs="Times New Roman"/>
          <w:color w:val="000000" w:themeColor="text1"/>
        </w:rPr>
        <w:t>,</w:t>
      </w:r>
    </w:p>
    <w:p w:rsidR="00D578D2" w:rsidRPr="00665266" w:rsidRDefault="00904859" w:rsidP="00E71538">
      <w:pPr>
        <w:pStyle w:val="Default"/>
        <w:spacing w:after="120"/>
        <w:jc w:val="both"/>
        <w:rPr>
          <w:rFonts w:asciiTheme="minorHAnsi" w:hAnsiTheme="minorHAnsi" w:cs="Times New Roman"/>
          <w:color w:val="000000" w:themeColor="text1"/>
        </w:rPr>
      </w:pPr>
      <w:r w:rsidRPr="00665266">
        <w:rPr>
          <w:rFonts w:asciiTheme="minorHAnsi" w:hAnsiTheme="minorHAnsi" w:cs="Times New Roman"/>
          <w:color w:val="000000" w:themeColor="text1"/>
        </w:rPr>
        <w:t>Once</w:t>
      </w:r>
      <w:r w:rsidR="00B3580C" w:rsidRPr="00665266">
        <w:rPr>
          <w:rFonts w:asciiTheme="minorHAnsi" w:hAnsiTheme="minorHAnsi" w:cs="Times New Roman"/>
          <w:color w:val="000000" w:themeColor="text1"/>
        </w:rPr>
        <w:t xml:space="preserve"> </w:t>
      </w:r>
      <w:r w:rsidR="00273D54">
        <w:rPr>
          <w:rFonts w:asciiTheme="minorHAnsi" w:hAnsiTheme="minorHAnsi" w:cs="Times New Roman"/>
          <w:color w:val="000000" w:themeColor="text1"/>
        </w:rPr>
        <w:t xml:space="preserve">the grant file is reviewed for completeness and accuracy and </w:t>
      </w:r>
      <w:r w:rsidR="001051E7" w:rsidRPr="00665266">
        <w:rPr>
          <w:rFonts w:asciiTheme="minorHAnsi" w:hAnsiTheme="minorHAnsi" w:cs="Times New Roman"/>
          <w:color w:val="000000" w:themeColor="text1"/>
        </w:rPr>
        <w:t xml:space="preserve">final payment </w:t>
      </w:r>
      <w:r w:rsidR="00EA2005" w:rsidRPr="00665266">
        <w:rPr>
          <w:rFonts w:asciiTheme="minorHAnsi" w:hAnsiTheme="minorHAnsi" w:cs="Times New Roman"/>
          <w:color w:val="000000" w:themeColor="text1"/>
        </w:rPr>
        <w:t xml:space="preserve">has been </w:t>
      </w:r>
      <w:r w:rsidRPr="00665266">
        <w:rPr>
          <w:rFonts w:asciiTheme="minorHAnsi" w:hAnsiTheme="minorHAnsi" w:cs="Times New Roman"/>
          <w:color w:val="000000" w:themeColor="text1"/>
        </w:rPr>
        <w:t xml:space="preserve">paid to the </w:t>
      </w:r>
      <w:r w:rsidR="000E1DF5">
        <w:rPr>
          <w:rFonts w:asciiTheme="minorHAnsi" w:hAnsiTheme="minorHAnsi" w:cs="Times New Roman"/>
          <w:color w:val="000000" w:themeColor="text1"/>
        </w:rPr>
        <w:t>Subrecipient</w:t>
      </w:r>
      <w:r w:rsidRPr="00665266">
        <w:rPr>
          <w:rFonts w:asciiTheme="minorHAnsi" w:hAnsiTheme="minorHAnsi" w:cs="Times New Roman"/>
          <w:color w:val="000000" w:themeColor="text1"/>
        </w:rPr>
        <w:t xml:space="preserve">, an official closeout letter will be forwarded to the </w:t>
      </w:r>
      <w:r w:rsidR="000E1DF5">
        <w:rPr>
          <w:rFonts w:asciiTheme="minorHAnsi" w:hAnsiTheme="minorHAnsi" w:cs="Times New Roman"/>
          <w:color w:val="000000" w:themeColor="text1"/>
        </w:rPr>
        <w:t>Subrecipient</w:t>
      </w:r>
      <w:r w:rsidRPr="00665266">
        <w:rPr>
          <w:rFonts w:asciiTheme="minorHAnsi" w:hAnsiTheme="minorHAnsi" w:cs="Times New Roman"/>
          <w:color w:val="000000" w:themeColor="text1"/>
        </w:rPr>
        <w:t xml:space="preserve"> by the EMPG Program Coordinator.</w:t>
      </w:r>
    </w:p>
    <w:p w:rsidR="00653890" w:rsidRPr="00665266" w:rsidRDefault="00653890" w:rsidP="00152460">
      <w:pPr>
        <w:pStyle w:val="Heading2"/>
      </w:pPr>
      <w:bookmarkStart w:id="54" w:name="_Toc480368220"/>
      <w:r w:rsidRPr="00665266">
        <w:t>Final Performance and Expenditure Report</w:t>
      </w:r>
      <w:bookmarkEnd w:id="54"/>
    </w:p>
    <w:p w:rsidR="00653890" w:rsidRPr="00665266" w:rsidRDefault="00653890" w:rsidP="00653890">
      <w:pPr>
        <w:tabs>
          <w:tab w:val="left" w:pos="5760"/>
        </w:tabs>
        <w:spacing w:after="120"/>
      </w:pPr>
      <w:r w:rsidRPr="00665266">
        <w:rPr>
          <w:color w:val="000000"/>
        </w:rPr>
        <w:t>Whe</w:t>
      </w:r>
      <w:r w:rsidRPr="00665266">
        <w:t xml:space="preserve">n the project is complete and all expenses in connection with the project are captured, </w:t>
      </w:r>
      <w:r w:rsidR="000E1DF5">
        <w:t>Subrecipient</w:t>
      </w:r>
      <w:r w:rsidRPr="00665266">
        <w:t xml:space="preserve">s </w:t>
      </w:r>
      <w:r w:rsidRPr="00665266">
        <w:rPr>
          <w:b/>
          <w:i/>
          <w:u w:val="single"/>
        </w:rPr>
        <w:t>must</w:t>
      </w:r>
      <w:r w:rsidRPr="00665266">
        <w:rPr>
          <w:b/>
          <w:i/>
        </w:rPr>
        <w:t xml:space="preserve"> </w:t>
      </w:r>
      <w:r w:rsidRPr="00665266">
        <w:t xml:space="preserve">complete and submit a </w:t>
      </w:r>
      <w:r w:rsidRPr="00665266">
        <w:rPr>
          <w:i/>
        </w:rPr>
        <w:t>Final Performance and Expenditure Report</w:t>
      </w:r>
      <w:r w:rsidRPr="00665266">
        <w:t xml:space="preserve"> to receive reimbursement.</w:t>
      </w:r>
      <w:r w:rsidR="002956CA" w:rsidRPr="00665266">
        <w:rPr>
          <w:i/>
        </w:rPr>
        <w:t xml:space="preserve"> </w:t>
      </w:r>
      <w:r w:rsidRPr="00665266">
        <w:t xml:space="preserve">This form summarizes activities associated with the completed project, documents any issues affecting completion or outcome, and outlines all expenditures to include both the Federal and local match amounts. </w:t>
      </w:r>
      <w:r w:rsidR="00812479">
        <w:t xml:space="preserve">This form can be found on HSEM’s Resource Center at:  </w:t>
      </w:r>
      <w:hyperlink r:id="rId54" w:history="1">
        <w:r w:rsidR="00812479" w:rsidRPr="008A474B">
          <w:rPr>
            <w:rStyle w:val="Hyperlink"/>
          </w:rPr>
          <w:t>https://apps.nh.gov/blogs/hsem/?page_id=419</w:t>
        </w:r>
      </w:hyperlink>
    </w:p>
    <w:p w:rsidR="00B752E0" w:rsidRPr="00665266" w:rsidRDefault="00E00C99" w:rsidP="00152460">
      <w:pPr>
        <w:pStyle w:val="Heading2"/>
      </w:pPr>
      <w:bookmarkStart w:id="55" w:name="_Toc480368221"/>
      <w:r w:rsidRPr="00665266">
        <w:t>Requests for R</w:t>
      </w:r>
      <w:r w:rsidR="00B752E0" w:rsidRPr="00665266">
        <w:t>eimbursement</w:t>
      </w:r>
      <w:bookmarkEnd w:id="55"/>
    </w:p>
    <w:p w:rsidR="00B90C72" w:rsidRDefault="00B752E0" w:rsidP="00B752E0">
      <w:pPr>
        <w:tabs>
          <w:tab w:val="left" w:pos="5760"/>
        </w:tabs>
      </w:pPr>
      <w:r w:rsidRPr="00665266">
        <w:t xml:space="preserve">All projects are </w:t>
      </w:r>
      <w:r w:rsidRPr="00665266">
        <w:rPr>
          <w:b/>
          <w:i/>
          <w:u w:val="single"/>
        </w:rPr>
        <w:t>required</w:t>
      </w:r>
      <w:r w:rsidRPr="00665266">
        <w:t xml:space="preserve"> to be completed and invoices need to be dated on or before the grant agreement’s expiration date.</w:t>
      </w:r>
      <w:r w:rsidR="002956CA" w:rsidRPr="00665266">
        <w:t xml:space="preserve"> </w:t>
      </w:r>
      <w:r w:rsidR="001600B4" w:rsidRPr="00665266">
        <w:t>Because HSEM has to close out its financial accounts and report its expenses to FEMA in a timely manner, a</w:t>
      </w:r>
      <w:r w:rsidRPr="00665266">
        <w:t xml:space="preserve">ll requests for reimbursement </w:t>
      </w:r>
      <w:r w:rsidR="00AC72D7" w:rsidRPr="00AC72D7">
        <w:rPr>
          <w:b/>
          <w:i/>
          <w:u w:val="single"/>
        </w:rPr>
        <w:t>must</w:t>
      </w:r>
      <w:r w:rsidRPr="00665266">
        <w:t xml:space="preserve"> be made no later than 30 days after the expi</w:t>
      </w:r>
      <w:r w:rsidR="001600B4" w:rsidRPr="00665266">
        <w:t>ration of the grant agreement. Otherwise, reimbursement may not be paid.</w:t>
      </w:r>
      <w:r w:rsidRPr="00665266">
        <w:t xml:space="preserve"> Requests for reimbursement </w:t>
      </w:r>
      <w:r w:rsidR="00AC72D7" w:rsidRPr="00AC72D7">
        <w:rPr>
          <w:b/>
          <w:i/>
          <w:u w:val="single"/>
        </w:rPr>
        <w:t>must</w:t>
      </w:r>
      <w:r w:rsidRPr="00AC72D7">
        <w:rPr>
          <w:i/>
        </w:rPr>
        <w:t xml:space="preserve"> </w:t>
      </w:r>
      <w:r w:rsidRPr="00665266">
        <w:t xml:space="preserve">be submitted on community/agency letterhead that matches the address shown in Section 1.4 of the </w:t>
      </w:r>
      <w:r w:rsidR="00E00C99" w:rsidRPr="00665266">
        <w:t xml:space="preserve">executed </w:t>
      </w:r>
      <w:r w:rsidRPr="00665266">
        <w:t xml:space="preserve">grant agreement. </w:t>
      </w:r>
      <w:r w:rsidR="00E00C99" w:rsidRPr="00665266">
        <w:t>A template for the request for reimbursement letter is available on HSEM’s Resource Center located</w:t>
      </w:r>
      <w:r w:rsidR="00B90C72">
        <w:t xml:space="preserve"> at</w:t>
      </w:r>
      <w:r w:rsidR="00E00C99" w:rsidRPr="00665266">
        <w:t xml:space="preserve">: </w:t>
      </w:r>
    </w:p>
    <w:p w:rsidR="00B752E0" w:rsidRPr="00665266" w:rsidRDefault="00DD0E47" w:rsidP="00B90C72">
      <w:pPr>
        <w:tabs>
          <w:tab w:val="left" w:pos="5760"/>
        </w:tabs>
        <w:spacing w:after="120"/>
      </w:pPr>
      <w:hyperlink r:id="rId55" w:history="1">
        <w:r w:rsidR="00E00C99" w:rsidRPr="00665266">
          <w:rPr>
            <w:rStyle w:val="Hyperlink"/>
          </w:rPr>
          <w:t>https://apps.nh.gov/blogs/hsem/?page_id=419</w:t>
        </w:r>
      </w:hyperlink>
      <w:r w:rsidR="00E00C99" w:rsidRPr="00665266">
        <w:t xml:space="preserve"> </w:t>
      </w:r>
    </w:p>
    <w:p w:rsidR="00CF35BA" w:rsidRPr="00665266" w:rsidRDefault="00B752E0" w:rsidP="00B90C72">
      <w:pPr>
        <w:tabs>
          <w:tab w:val="left" w:pos="5760"/>
        </w:tabs>
        <w:spacing w:after="120"/>
      </w:pPr>
      <w:r w:rsidRPr="00665266">
        <w:t xml:space="preserve">Reimbursement requests </w:t>
      </w:r>
      <w:r w:rsidR="00AC72D7" w:rsidRPr="00AC72D7">
        <w:rPr>
          <w:b/>
          <w:i/>
          <w:u w:val="single"/>
        </w:rPr>
        <w:t>must</w:t>
      </w:r>
      <w:r w:rsidRPr="00665266">
        <w:t xml:space="preserve"> include any out</w:t>
      </w:r>
      <w:r w:rsidR="00653890" w:rsidRPr="00665266">
        <w:t>standing reports (Q</w:t>
      </w:r>
      <w:r w:rsidR="00E00F71">
        <w:t>PR</w:t>
      </w:r>
      <w:r w:rsidR="00653890" w:rsidRPr="00665266">
        <w:t>, Final P</w:t>
      </w:r>
      <w:r w:rsidRPr="00665266">
        <w:t xml:space="preserve">erformance </w:t>
      </w:r>
      <w:r w:rsidR="00653890" w:rsidRPr="00665266">
        <w:t>and E</w:t>
      </w:r>
      <w:r w:rsidRPr="00665266">
        <w:t xml:space="preserve">xpenditure </w:t>
      </w:r>
      <w:r w:rsidR="00653890" w:rsidRPr="00665266">
        <w:t xml:space="preserve">Report, and </w:t>
      </w:r>
      <w:r w:rsidR="00EA2005" w:rsidRPr="00665266">
        <w:t xml:space="preserve">the </w:t>
      </w:r>
      <w:r w:rsidR="00653890" w:rsidRPr="00665266">
        <w:t>E</w:t>
      </w:r>
      <w:r w:rsidRPr="00665266">
        <w:t xml:space="preserve">quipment </w:t>
      </w:r>
      <w:r w:rsidR="00653890" w:rsidRPr="00665266">
        <w:t>I</w:t>
      </w:r>
      <w:r w:rsidRPr="00665266">
        <w:t xml:space="preserve">nventory </w:t>
      </w:r>
      <w:r w:rsidR="001148AB" w:rsidRPr="00665266">
        <w:t>Form</w:t>
      </w:r>
      <w:r w:rsidRPr="00665266">
        <w:t xml:space="preserve"> accompanied by photos</w:t>
      </w:r>
      <w:r w:rsidR="00EE64E0" w:rsidRPr="00665266">
        <w:t>, if required</w:t>
      </w:r>
      <w:r w:rsidRPr="00665266">
        <w:t>), proof of costs (copies of invoices/bills</w:t>
      </w:r>
      <w:r w:rsidR="00605BE4" w:rsidRPr="00665266">
        <w:t>, payroll documentation</w:t>
      </w:r>
      <w:r w:rsidR="001527E5" w:rsidRPr="00665266">
        <w:t>, sign in sheets, agendas, etc.</w:t>
      </w:r>
      <w:r w:rsidRPr="00665266">
        <w:t>), proof of payment (cancelled checks</w:t>
      </w:r>
      <w:r w:rsidR="00605BE4" w:rsidRPr="00665266">
        <w:t xml:space="preserve">, </w:t>
      </w:r>
      <w:r w:rsidRPr="00665266">
        <w:t xml:space="preserve">copies of </w:t>
      </w:r>
      <w:r w:rsidR="00AE4DDB" w:rsidRPr="00665266">
        <w:t>accounting</w:t>
      </w:r>
      <w:r w:rsidRPr="00665266">
        <w:t xml:space="preserve"> ledgers</w:t>
      </w:r>
      <w:r w:rsidR="00AE4DDB" w:rsidRPr="00665266">
        <w:t xml:space="preserve"> and/or statements documenting payment</w:t>
      </w:r>
      <w:r w:rsidRPr="00665266">
        <w:t xml:space="preserve">) and proof of match equal to or greater than the reimbursement request. </w:t>
      </w:r>
      <w:r w:rsidR="008A5CB4">
        <w:t xml:space="preserve"> HSEM has not obligation and makes no commitment to reimburse for Subrecipient costs incurred prior to or after the effective dates of the grant agreement; therefore, a</w:t>
      </w:r>
      <w:r w:rsidRPr="00665266">
        <w:t xml:space="preserve">ny purchases made </w:t>
      </w:r>
      <w:r w:rsidRPr="00B90C72">
        <w:rPr>
          <w:b/>
          <w:u w:val="single"/>
        </w:rPr>
        <w:t>PRIOR</w:t>
      </w:r>
      <w:r w:rsidRPr="00665266">
        <w:t xml:space="preserve"> </w:t>
      </w:r>
      <w:r w:rsidR="008A5CB4">
        <w:t xml:space="preserve">to and </w:t>
      </w:r>
      <w:r w:rsidR="008A5CB4" w:rsidRPr="008A5CB4">
        <w:rPr>
          <w:b/>
          <w:u w:val="single"/>
        </w:rPr>
        <w:t>AFTER</w:t>
      </w:r>
      <w:r w:rsidR="008A5CB4">
        <w:t xml:space="preserve"> </w:t>
      </w:r>
      <w:r w:rsidR="00653890" w:rsidRPr="00665266">
        <w:t xml:space="preserve"> the</w:t>
      </w:r>
      <w:r w:rsidRPr="00665266">
        <w:t xml:space="preserve"> grant award will be </w:t>
      </w:r>
      <w:r w:rsidRPr="00665266">
        <w:rPr>
          <w:b/>
          <w:u w:val="single"/>
        </w:rPr>
        <w:t>disallowed</w:t>
      </w:r>
      <w:r w:rsidRPr="00665266">
        <w:rPr>
          <w:b/>
        </w:rPr>
        <w:t xml:space="preserve"> </w:t>
      </w:r>
      <w:r w:rsidRPr="00665266">
        <w:t>– unless utilizing these purchases as match</w:t>
      </w:r>
      <w:r w:rsidR="00EE64E0" w:rsidRPr="00665266">
        <w:t xml:space="preserve"> and </w:t>
      </w:r>
      <w:r w:rsidR="00653890" w:rsidRPr="00AC72D7">
        <w:rPr>
          <w:b/>
          <w:i/>
          <w:u w:val="single"/>
        </w:rPr>
        <w:t>must</w:t>
      </w:r>
      <w:r w:rsidR="00653890" w:rsidRPr="00665266">
        <w:t xml:space="preserve"> be identified in your application</w:t>
      </w:r>
      <w:r w:rsidRPr="00665266">
        <w:t>.</w:t>
      </w:r>
      <w:r w:rsidR="002956CA" w:rsidRPr="00665266">
        <w:t xml:space="preserve"> </w:t>
      </w:r>
      <w:r w:rsidRPr="00665266">
        <w:t xml:space="preserve">If your project includes development of a plan, you </w:t>
      </w:r>
      <w:r w:rsidR="00AC72D7" w:rsidRPr="00AC72D7">
        <w:rPr>
          <w:b/>
          <w:i/>
          <w:u w:val="single"/>
        </w:rPr>
        <w:t>must</w:t>
      </w:r>
      <w:r w:rsidRPr="00665266">
        <w:t xml:space="preserve"> include an electronic copy prior to reimbursement.</w:t>
      </w:r>
      <w:r w:rsidR="002956CA" w:rsidRPr="00665266">
        <w:t xml:space="preserve"> </w:t>
      </w:r>
      <w:r w:rsidR="00E00F71">
        <w:t>S</w:t>
      </w:r>
      <w:r w:rsidRPr="00665266">
        <w:t>end your reimbursement request to HSEM to the attention of the EMPG Program Coordinator.</w:t>
      </w:r>
      <w:r w:rsidR="00B90C72">
        <w:t xml:space="preserve"> </w:t>
      </w:r>
    </w:p>
    <w:p w:rsidR="00AC4589" w:rsidRPr="00665266" w:rsidRDefault="00AC4589" w:rsidP="00152460">
      <w:pPr>
        <w:pStyle w:val="Heading2"/>
      </w:pPr>
      <w:bookmarkStart w:id="56" w:name="_Toc480368222"/>
      <w:r w:rsidRPr="00665266">
        <w:lastRenderedPageBreak/>
        <w:t>Equipment Inventory</w:t>
      </w:r>
      <w:bookmarkEnd w:id="56"/>
      <w:r w:rsidRPr="00665266">
        <w:t xml:space="preserve"> </w:t>
      </w:r>
    </w:p>
    <w:p w:rsidR="00862A57" w:rsidRDefault="00AC4589" w:rsidP="00AC4589">
      <w:pPr>
        <w:tabs>
          <w:tab w:val="left" w:pos="5760"/>
        </w:tabs>
      </w:pPr>
      <w:r w:rsidRPr="00665266">
        <w:t xml:space="preserve">An Equipment Inventory </w:t>
      </w:r>
      <w:r w:rsidR="00CA6738" w:rsidRPr="00665266">
        <w:t>Form</w:t>
      </w:r>
      <w:r w:rsidRPr="00665266">
        <w:t xml:space="preserve"> will need to be </w:t>
      </w:r>
      <w:r w:rsidR="00862A57">
        <w:t xml:space="preserve">completed and </w:t>
      </w:r>
      <w:r w:rsidRPr="00665266">
        <w:t xml:space="preserve">returned, along with photographs of </w:t>
      </w:r>
      <w:r w:rsidR="00EE64E0" w:rsidRPr="00665266">
        <w:t xml:space="preserve">any </w:t>
      </w:r>
      <w:r w:rsidRPr="00665266">
        <w:t>equipment purchased with grant funds, upon requests for reimbursement.</w:t>
      </w:r>
      <w:r w:rsidR="002956CA" w:rsidRPr="00665266">
        <w:t xml:space="preserve"> </w:t>
      </w:r>
    </w:p>
    <w:p w:rsidR="00862A57" w:rsidRDefault="00862A57" w:rsidP="00AC4589">
      <w:pPr>
        <w:tabs>
          <w:tab w:val="left" w:pos="5760"/>
        </w:tabs>
      </w:pPr>
    </w:p>
    <w:p w:rsidR="00AC4589" w:rsidRPr="00665266" w:rsidRDefault="00E00F71" w:rsidP="00AC4589">
      <w:pPr>
        <w:tabs>
          <w:tab w:val="left" w:pos="5760"/>
        </w:tabs>
      </w:pPr>
      <w:r w:rsidRPr="00862A57">
        <w:rPr>
          <w:u w:val="single"/>
        </w:rPr>
        <w:t>N</w:t>
      </w:r>
      <w:r w:rsidR="00AC4589" w:rsidRPr="00862A57">
        <w:rPr>
          <w:u w:val="single"/>
        </w:rPr>
        <w:t>ote</w:t>
      </w:r>
      <w:r w:rsidR="00862A57" w:rsidRPr="00862A57">
        <w:t>:</w:t>
      </w:r>
      <w:r w:rsidR="00862A57">
        <w:t xml:space="preserve"> O</w:t>
      </w:r>
      <w:r w:rsidR="00AC4589" w:rsidRPr="00665266">
        <w:t>nly equipment with a value of $250.00 or greater needs to be documented.</w:t>
      </w:r>
      <w:r w:rsidR="00653890" w:rsidRPr="00665266">
        <w:t xml:space="preserve"> The Equipment Inventory </w:t>
      </w:r>
      <w:r w:rsidR="00CA6738" w:rsidRPr="00665266">
        <w:t>Form</w:t>
      </w:r>
      <w:r w:rsidR="00653890" w:rsidRPr="00665266">
        <w:t xml:space="preserve"> is available</w:t>
      </w:r>
      <w:r w:rsidR="00B90C72">
        <w:t xml:space="preserve"> at</w:t>
      </w:r>
      <w:r w:rsidR="00653890" w:rsidRPr="00665266">
        <w:t xml:space="preserve">: </w:t>
      </w:r>
      <w:hyperlink r:id="rId56" w:history="1">
        <w:r w:rsidR="00653890" w:rsidRPr="00665266">
          <w:rPr>
            <w:rStyle w:val="Hyperlink"/>
          </w:rPr>
          <w:t>https://apps.nh.gov/blogs/hsem/?page_id=419</w:t>
        </w:r>
      </w:hyperlink>
    </w:p>
    <w:p w:rsidR="00653890" w:rsidRPr="00665266" w:rsidRDefault="00653890" w:rsidP="00AC4589">
      <w:pPr>
        <w:tabs>
          <w:tab w:val="left" w:pos="5760"/>
        </w:tabs>
      </w:pPr>
    </w:p>
    <w:sectPr w:rsidR="00653890" w:rsidRPr="00665266" w:rsidSect="00B90C7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38" w:rsidRDefault="00E71538" w:rsidP="002843CA">
      <w:r>
        <w:separator/>
      </w:r>
    </w:p>
  </w:endnote>
  <w:endnote w:type="continuationSeparator" w:id="0">
    <w:p w:rsidR="00E71538" w:rsidRDefault="00E71538"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Italic">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8" w:rsidRPr="001E6C1A" w:rsidRDefault="00E71538" w:rsidP="00111EE7">
    <w:pPr>
      <w:tabs>
        <w:tab w:val="center" w:pos="4320"/>
        <w:tab w:val="right" w:pos="8640"/>
      </w:tabs>
      <w:ind w:hanging="360"/>
    </w:pPr>
    <w:r w:rsidRPr="001E6C1A">
      <w:rPr>
        <w:noProof/>
      </w:rPr>
      <mc:AlternateContent>
        <mc:Choice Requires="wps">
          <w:drawing>
            <wp:anchor distT="0" distB="0" distL="114300" distR="114300" simplePos="0" relativeHeight="251667456" behindDoc="0" locked="0" layoutInCell="1" allowOverlap="1" wp14:anchorId="5B04BA55" wp14:editId="5F6D47A9">
              <wp:simplePos x="0" y="0"/>
              <wp:positionH relativeFrom="column">
                <wp:posOffset>4340860</wp:posOffset>
              </wp:positionH>
              <wp:positionV relativeFrom="paragraph">
                <wp:posOffset>474980</wp:posOffset>
              </wp:positionV>
              <wp:extent cx="2253615" cy="192405"/>
              <wp:effectExtent l="0" t="0" r="0" b="2540"/>
              <wp:wrapNone/>
              <wp:docPr id="1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38" w:rsidRPr="0086279E" w:rsidRDefault="00E71538" w:rsidP="00111EE7">
                          <w:pPr>
                            <w:pStyle w:val="NormalWeb"/>
                            <w:spacing w:before="0" w:beforeAutospacing="0" w:after="0" w:afterAutospacing="0"/>
                            <w:textAlignment w:val="baseline"/>
                            <w:rPr>
                              <w:spacing w:val="4"/>
                            </w:rPr>
                          </w:pPr>
                          <w:proofErr w:type="gramStart"/>
                          <w:r w:rsidRPr="0086279E">
                            <w:rPr>
                              <w:rFonts w:ascii="Franklin Gothic Heavy" w:eastAsia="MS PGothic" w:hAnsi="Franklin Gothic Heavy"/>
                              <w:color w:val="0B5B51"/>
                              <w:spacing w:val="4"/>
                              <w:sz w:val="14"/>
                              <w:szCs w:val="14"/>
                            </w:rPr>
                            <w:t>ENSURING SAFETY.</w:t>
                          </w:r>
                          <w:proofErr w:type="gramEnd"/>
                          <w:r w:rsidRPr="0086279E">
                            <w:rPr>
                              <w:rFonts w:ascii="Franklin Gothic Heavy" w:eastAsia="MS PGothic" w:hAnsi="Franklin Gothic Heavy"/>
                              <w:color w:val="0B5B51"/>
                              <w:spacing w:val="4"/>
                              <w:sz w:val="14"/>
                              <w:szCs w:val="14"/>
                            </w:rPr>
                            <w:t xml:space="preserve"> </w:t>
                          </w:r>
                          <w:proofErr w:type="gramStart"/>
                          <w:r w:rsidRPr="0086279E">
                            <w:rPr>
                              <w:rFonts w:ascii="Franklin Gothic Heavy" w:eastAsia="MS PGothic" w:hAnsi="Franklin Gothic Heavy"/>
                              <w:color w:val="0B5B51"/>
                              <w:spacing w:val="4"/>
                              <w:sz w:val="14"/>
                              <w:szCs w:val="14"/>
                            </w:rPr>
                            <w:t>PROTECTING COMMUNITIES.</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1.8pt;margin-top:37.4pt;width:177.45pt;height:15.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" filled="f" stroked="f">
              <v:textbox style="mso-fit-shape-to-text:t">
                <w:txbxContent>
                  <w:p w:rsidR="00E71538" w:rsidRPr="0086279E" w:rsidRDefault="00E71538" w:rsidP="00111EE7">
                    <w:pPr>
                      <w:pStyle w:val="NormalWeb"/>
                      <w:spacing w:before="0" w:beforeAutospacing="0" w:after="0" w:afterAutospacing="0"/>
                      <w:textAlignment w:val="baseline"/>
                      <w:rPr>
                        <w:spacing w:val="4"/>
                      </w:rPr>
                    </w:pPr>
                    <w:proofErr w:type="gramStart"/>
                    <w:r w:rsidRPr="0086279E">
                      <w:rPr>
                        <w:rFonts w:ascii="Franklin Gothic Heavy" w:eastAsia="MS PGothic" w:hAnsi="Franklin Gothic Heavy"/>
                        <w:color w:val="0B5B51"/>
                        <w:spacing w:val="4"/>
                        <w:sz w:val="14"/>
                        <w:szCs w:val="14"/>
                      </w:rPr>
                      <w:t>ENSURING SAFETY.</w:t>
                    </w:r>
                    <w:proofErr w:type="gramEnd"/>
                    <w:r w:rsidRPr="0086279E">
                      <w:rPr>
                        <w:rFonts w:ascii="Franklin Gothic Heavy" w:eastAsia="MS PGothic" w:hAnsi="Franklin Gothic Heavy"/>
                        <w:color w:val="0B5B51"/>
                        <w:spacing w:val="4"/>
                        <w:sz w:val="14"/>
                        <w:szCs w:val="14"/>
                      </w:rPr>
                      <w:t xml:space="preserve"> </w:t>
                    </w:r>
                    <w:proofErr w:type="gramStart"/>
                    <w:r w:rsidRPr="0086279E">
                      <w:rPr>
                        <w:rFonts w:ascii="Franklin Gothic Heavy" w:eastAsia="MS PGothic" w:hAnsi="Franklin Gothic Heavy"/>
                        <w:color w:val="0B5B51"/>
                        <w:spacing w:val="4"/>
                        <w:sz w:val="14"/>
                        <w:szCs w:val="14"/>
                      </w:rPr>
                      <w:t>PROTECTING COMMUNITIES.</w:t>
                    </w:r>
                    <w:proofErr w:type="gramEnd"/>
                  </w:p>
                </w:txbxContent>
              </v:textbox>
            </v:shape>
          </w:pict>
        </mc:Fallback>
      </mc:AlternateContent>
    </w:r>
    <w:r w:rsidRPr="001E6C1A">
      <w:rPr>
        <w:noProof/>
      </w:rPr>
      <mc:AlternateContent>
        <mc:Choice Requires="wps">
          <w:drawing>
            <wp:anchor distT="0" distB="0" distL="114300" distR="114300" simplePos="0" relativeHeight="251666432" behindDoc="0" locked="0" layoutInCell="1" allowOverlap="1" wp14:anchorId="7E63171A" wp14:editId="3A7A3230">
              <wp:simplePos x="0" y="0"/>
              <wp:positionH relativeFrom="column">
                <wp:posOffset>4340860</wp:posOffset>
              </wp:positionH>
              <wp:positionV relativeFrom="paragraph">
                <wp:posOffset>148590</wp:posOffset>
              </wp:positionV>
              <wp:extent cx="2314575" cy="360680"/>
              <wp:effectExtent l="0" t="2540" r="2540" b="0"/>
              <wp:wrapNone/>
              <wp:docPr id="12"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38" w:rsidRPr="003101B5" w:rsidRDefault="00E71538"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E71538" w:rsidRPr="003101B5" w:rsidRDefault="00E71538"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4" o:spid="_x0000_s1028" type="#_x0000_t202" style="position:absolute;left:0;text-align:left;margin-left:341.8pt;margin-top:11.7pt;width:182.25pt;height: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" filled="f" stroked="f">
              <v:textbox style="mso-fit-shape-to-text:t">
                <w:txbxContent>
                  <w:p w:rsidR="00E71538" w:rsidRPr="003101B5" w:rsidRDefault="00E71538"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E71538" w:rsidRPr="003101B5" w:rsidRDefault="00E71538"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v:textbox>
            </v:shape>
          </w:pict>
        </mc:Fallback>
      </mc:AlternateContent>
    </w:r>
  </w:p>
  <w:p w:rsidR="00E71538" w:rsidRPr="001E6C1A" w:rsidRDefault="00E71538" w:rsidP="00111EE7">
    <w:pPr>
      <w:tabs>
        <w:tab w:val="center" w:pos="4320"/>
        <w:tab w:val="right" w:pos="8640"/>
      </w:tabs>
      <w:ind w:hanging="360"/>
    </w:pPr>
    <w:r w:rsidRPr="001E6C1A">
      <w:rPr>
        <w:noProof/>
      </w:rPr>
      <w:drawing>
        <wp:anchor distT="0" distB="0" distL="114300" distR="114300" simplePos="0" relativeHeight="251665408" behindDoc="0" locked="0" layoutInCell="1" allowOverlap="1" wp14:anchorId="7CE42B15" wp14:editId="5855C80D">
          <wp:simplePos x="0" y="0"/>
          <wp:positionH relativeFrom="column">
            <wp:posOffset>4062730</wp:posOffset>
          </wp:positionH>
          <wp:positionV relativeFrom="paragraph">
            <wp:posOffset>635</wp:posOffset>
          </wp:positionV>
          <wp:extent cx="336550" cy="440690"/>
          <wp:effectExtent l="0" t="0" r="44450" b="355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440690"/>
                  </a:xfrm>
                  <a:prstGeom prst="rect">
                    <a:avLst/>
                  </a:prstGeom>
                  <a:noFill/>
                  <a:ln>
                    <a:noFill/>
                  </a:ln>
                  <a:effectLst>
                    <a:outerShdw blurRad="12700" dist="19049" dir="2700000" algn="tl" rotWithShape="0">
                      <a:srgbClr val="000000">
                        <a:alpha val="26999"/>
                      </a:srgbClr>
                    </a:outerShdw>
                  </a:effectLst>
                </pic:spPr>
              </pic:pic>
            </a:graphicData>
          </a:graphic>
          <wp14:sizeRelH relativeFrom="page">
            <wp14:pctWidth>0</wp14:pctWidth>
          </wp14:sizeRelH>
          <wp14:sizeRelV relativeFrom="page">
            <wp14:pctHeight>0</wp14:pctHeight>
          </wp14:sizeRelV>
        </wp:anchor>
      </w:drawing>
    </w:r>
  </w:p>
  <w:p w:rsidR="00E71538" w:rsidRPr="001E6C1A" w:rsidRDefault="00E71538" w:rsidP="00111EE7">
    <w:pPr>
      <w:tabs>
        <w:tab w:val="center" w:pos="4320"/>
        <w:tab w:val="right" w:pos="8640"/>
      </w:tabs>
    </w:pPr>
    <w:r w:rsidRPr="001E6C1A">
      <w:rPr>
        <w:noProof/>
      </w:rPr>
      <mc:AlternateContent>
        <mc:Choice Requires="wps">
          <w:drawing>
            <wp:anchor distT="0" distB="0" distL="114300" distR="114300" simplePos="0" relativeHeight="251664384" behindDoc="0" locked="0" layoutInCell="1" allowOverlap="1" wp14:anchorId="6DE88BA3" wp14:editId="0D41E228">
              <wp:simplePos x="0" y="0"/>
              <wp:positionH relativeFrom="column">
                <wp:posOffset>-289560</wp:posOffset>
              </wp:positionH>
              <wp:positionV relativeFrom="paragraph">
                <wp:posOffset>124460</wp:posOffset>
              </wp:positionV>
              <wp:extent cx="6842760" cy="0"/>
              <wp:effectExtent l="19050" t="1905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2760"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9.8pt" to="5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" strokecolor="#072741" strokeweight="2.25pt">
              <v:stroke endcap="round"/>
              <v:shadow color="black" opacity="17694f" origin="-.5,-.5" offset=".37417mm,.37417mm"/>
            </v:line>
          </w:pict>
        </mc:Fallback>
      </mc:AlternateContent>
    </w:r>
  </w:p>
  <w:p w:rsidR="00E71538" w:rsidRPr="001E6C1A" w:rsidRDefault="00E71538" w:rsidP="00111EE7">
    <w:r>
      <w:rPr>
        <w:rFonts w:ascii="Franklin Gothic Demi Cond" w:hAnsi="Franklin Gothic Demi Cond"/>
        <w:sz w:val="20"/>
        <w:szCs w:val="20"/>
      </w:rPr>
      <w:t>EMPG Guidance – March 2017</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435830186"/>
        <w:docPartObj>
          <w:docPartGallery w:val="Page Numbers (Margins)"/>
          <w:docPartUnique/>
        </w:docPartObj>
      </w:sdtPr>
      <w:sdtEndPr/>
      <w:sdtContent>
        <w:sdt>
          <w:sdtPr>
            <w:rPr>
              <w:rFonts w:eastAsiaTheme="majorEastAsia" w:cstheme="majorBidi"/>
              <w:b/>
              <w:sz w:val="20"/>
              <w:szCs w:val="20"/>
            </w:rPr>
            <w:id w:val="-791359635"/>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Pr="009338E8">
              <w:rPr>
                <w:rFonts w:eastAsiaTheme="majorEastAsia" w:cstheme="majorBidi"/>
                <w:b/>
                <w:noProof/>
                <w:sz w:val="20"/>
                <w:szCs w:val="20"/>
              </w:rPr>
              <w:t>14</w:t>
            </w:r>
            <w:r w:rsidRPr="001E6C1A">
              <w:rPr>
                <w:rFonts w:eastAsiaTheme="majorEastAsia" w:cstheme="majorBidi"/>
                <w:b/>
                <w:noProof/>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8" w:rsidRPr="001E6C1A" w:rsidRDefault="00E71538" w:rsidP="001E6C1A">
    <w:pPr>
      <w:tabs>
        <w:tab w:val="center" w:pos="4320"/>
        <w:tab w:val="right" w:pos="8640"/>
      </w:tabs>
      <w:ind w:hanging="360"/>
    </w:pPr>
    <w:r w:rsidRPr="001E6C1A">
      <w:rPr>
        <w:noProof/>
      </w:rPr>
      <mc:AlternateContent>
        <mc:Choice Requires="wps">
          <w:drawing>
            <wp:anchor distT="0" distB="0" distL="114300" distR="114300" simplePos="0" relativeHeight="251662336" behindDoc="0" locked="0" layoutInCell="1" allowOverlap="1" wp14:anchorId="3C61C28D" wp14:editId="0D717EE1">
              <wp:simplePos x="0" y="0"/>
              <wp:positionH relativeFrom="column">
                <wp:posOffset>4340860</wp:posOffset>
              </wp:positionH>
              <wp:positionV relativeFrom="paragraph">
                <wp:posOffset>474980</wp:posOffset>
              </wp:positionV>
              <wp:extent cx="2253615" cy="192405"/>
              <wp:effectExtent l="0" t="0" r="0" b="2540"/>
              <wp:wrapNone/>
              <wp:docPr id="5"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38" w:rsidRPr="0086279E" w:rsidRDefault="00E71538" w:rsidP="001E6C1A">
                          <w:pPr>
                            <w:pStyle w:val="NormalWeb"/>
                            <w:spacing w:before="0" w:beforeAutospacing="0" w:after="0" w:afterAutospacing="0"/>
                            <w:textAlignment w:val="baseline"/>
                            <w:rPr>
                              <w:spacing w:val="4"/>
                            </w:rPr>
                          </w:pPr>
                          <w:proofErr w:type="gramStart"/>
                          <w:r w:rsidRPr="0086279E">
                            <w:rPr>
                              <w:rFonts w:ascii="Franklin Gothic Heavy" w:eastAsia="MS PGothic" w:hAnsi="Franklin Gothic Heavy"/>
                              <w:color w:val="0B5B51"/>
                              <w:spacing w:val="4"/>
                              <w:sz w:val="14"/>
                              <w:szCs w:val="14"/>
                            </w:rPr>
                            <w:t>ENSURING SAFETY.</w:t>
                          </w:r>
                          <w:proofErr w:type="gramEnd"/>
                          <w:r w:rsidRPr="0086279E">
                            <w:rPr>
                              <w:rFonts w:ascii="Franklin Gothic Heavy" w:eastAsia="MS PGothic" w:hAnsi="Franklin Gothic Heavy"/>
                              <w:color w:val="0B5B51"/>
                              <w:spacing w:val="4"/>
                              <w:sz w:val="14"/>
                              <w:szCs w:val="14"/>
                            </w:rPr>
                            <w:t xml:space="preserve"> </w:t>
                          </w:r>
                          <w:proofErr w:type="gramStart"/>
                          <w:r w:rsidRPr="0086279E">
                            <w:rPr>
                              <w:rFonts w:ascii="Franklin Gothic Heavy" w:eastAsia="MS PGothic" w:hAnsi="Franklin Gothic Heavy"/>
                              <w:color w:val="0B5B51"/>
                              <w:spacing w:val="4"/>
                              <w:sz w:val="14"/>
                              <w:szCs w:val="14"/>
                            </w:rPr>
                            <w:t>PROTECTING COMMUNITIES.</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41.8pt;margin-top:37.4pt;width:177.45pt;height:15.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" filled="f" stroked="f">
              <v:textbox style="mso-fit-shape-to-text:t">
                <w:txbxContent>
                  <w:p w:rsidR="00E71538" w:rsidRPr="0086279E" w:rsidRDefault="00E71538" w:rsidP="001E6C1A">
                    <w:pPr>
                      <w:pStyle w:val="NormalWeb"/>
                      <w:spacing w:before="0" w:beforeAutospacing="0" w:after="0" w:afterAutospacing="0"/>
                      <w:textAlignment w:val="baseline"/>
                      <w:rPr>
                        <w:spacing w:val="4"/>
                      </w:rPr>
                    </w:pPr>
                    <w:proofErr w:type="gramStart"/>
                    <w:r w:rsidRPr="0086279E">
                      <w:rPr>
                        <w:rFonts w:ascii="Franklin Gothic Heavy" w:eastAsia="MS PGothic" w:hAnsi="Franklin Gothic Heavy"/>
                        <w:color w:val="0B5B51"/>
                        <w:spacing w:val="4"/>
                        <w:sz w:val="14"/>
                        <w:szCs w:val="14"/>
                      </w:rPr>
                      <w:t>ENSURING SAFETY.</w:t>
                    </w:r>
                    <w:proofErr w:type="gramEnd"/>
                    <w:r w:rsidRPr="0086279E">
                      <w:rPr>
                        <w:rFonts w:ascii="Franklin Gothic Heavy" w:eastAsia="MS PGothic" w:hAnsi="Franklin Gothic Heavy"/>
                        <w:color w:val="0B5B51"/>
                        <w:spacing w:val="4"/>
                        <w:sz w:val="14"/>
                        <w:szCs w:val="14"/>
                      </w:rPr>
                      <w:t xml:space="preserve"> </w:t>
                    </w:r>
                    <w:proofErr w:type="gramStart"/>
                    <w:r w:rsidRPr="0086279E">
                      <w:rPr>
                        <w:rFonts w:ascii="Franklin Gothic Heavy" w:eastAsia="MS PGothic" w:hAnsi="Franklin Gothic Heavy"/>
                        <w:color w:val="0B5B51"/>
                        <w:spacing w:val="4"/>
                        <w:sz w:val="14"/>
                        <w:szCs w:val="14"/>
                      </w:rPr>
                      <w:t>PROTECTING COMMUNITIES.</w:t>
                    </w:r>
                    <w:proofErr w:type="gramEnd"/>
                  </w:p>
                </w:txbxContent>
              </v:textbox>
            </v:shape>
          </w:pict>
        </mc:Fallback>
      </mc:AlternateContent>
    </w:r>
    <w:r w:rsidRPr="001E6C1A">
      <w:rPr>
        <w:noProof/>
      </w:rPr>
      <mc:AlternateContent>
        <mc:Choice Requires="wps">
          <w:drawing>
            <wp:anchor distT="0" distB="0" distL="114300" distR="114300" simplePos="0" relativeHeight="251661312" behindDoc="0" locked="0" layoutInCell="1" allowOverlap="1" wp14:anchorId="561D478B" wp14:editId="3C4E761D">
              <wp:simplePos x="0" y="0"/>
              <wp:positionH relativeFrom="column">
                <wp:posOffset>4340860</wp:posOffset>
              </wp:positionH>
              <wp:positionV relativeFrom="paragraph">
                <wp:posOffset>148590</wp:posOffset>
              </wp:positionV>
              <wp:extent cx="2314575" cy="360680"/>
              <wp:effectExtent l="0" t="2540" r="2540" b="0"/>
              <wp:wrapNone/>
              <wp:docPr id="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38" w:rsidRPr="003101B5" w:rsidRDefault="00E71538" w:rsidP="001E6C1A">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E71538" w:rsidRPr="003101B5" w:rsidRDefault="00E71538" w:rsidP="001E6C1A">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41.8pt;margin-top:11.7pt;width:182.25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" filled="f" stroked="f">
              <v:textbox style="mso-fit-shape-to-text:t">
                <w:txbxContent>
                  <w:p w:rsidR="00E71538" w:rsidRPr="003101B5" w:rsidRDefault="00E71538" w:rsidP="001E6C1A">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E71538" w:rsidRPr="003101B5" w:rsidRDefault="00E71538" w:rsidP="001E6C1A">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v:textbox>
            </v:shape>
          </w:pict>
        </mc:Fallback>
      </mc:AlternateContent>
    </w:r>
  </w:p>
  <w:p w:rsidR="00E71538" w:rsidRPr="001E6C1A" w:rsidRDefault="00E71538" w:rsidP="001E6C1A">
    <w:pPr>
      <w:tabs>
        <w:tab w:val="center" w:pos="4320"/>
        <w:tab w:val="right" w:pos="8640"/>
      </w:tabs>
      <w:ind w:hanging="360"/>
    </w:pPr>
    <w:r w:rsidRPr="001E6C1A">
      <w:rPr>
        <w:noProof/>
      </w:rPr>
      <w:drawing>
        <wp:anchor distT="0" distB="0" distL="114300" distR="114300" simplePos="0" relativeHeight="251660288" behindDoc="0" locked="0" layoutInCell="1" allowOverlap="1" wp14:anchorId="29160F7A" wp14:editId="4E5C8619">
          <wp:simplePos x="0" y="0"/>
          <wp:positionH relativeFrom="column">
            <wp:posOffset>4062730</wp:posOffset>
          </wp:positionH>
          <wp:positionV relativeFrom="paragraph">
            <wp:posOffset>635</wp:posOffset>
          </wp:positionV>
          <wp:extent cx="336550" cy="440690"/>
          <wp:effectExtent l="0" t="0" r="44450" b="355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440690"/>
                  </a:xfrm>
                  <a:prstGeom prst="rect">
                    <a:avLst/>
                  </a:prstGeom>
                  <a:noFill/>
                  <a:ln>
                    <a:noFill/>
                  </a:ln>
                  <a:effectLst>
                    <a:outerShdw blurRad="12700" dist="19049" dir="2700000" algn="tl" rotWithShape="0">
                      <a:srgbClr val="000000">
                        <a:alpha val="26999"/>
                      </a:srgbClr>
                    </a:outerShdw>
                  </a:effectLst>
                </pic:spPr>
              </pic:pic>
            </a:graphicData>
          </a:graphic>
          <wp14:sizeRelH relativeFrom="page">
            <wp14:pctWidth>0</wp14:pctWidth>
          </wp14:sizeRelH>
          <wp14:sizeRelV relativeFrom="page">
            <wp14:pctHeight>0</wp14:pctHeight>
          </wp14:sizeRelV>
        </wp:anchor>
      </w:drawing>
    </w:r>
  </w:p>
  <w:p w:rsidR="00E71538" w:rsidRPr="001E6C1A" w:rsidRDefault="00E71538" w:rsidP="000701DF">
    <w:pPr>
      <w:tabs>
        <w:tab w:val="center" w:pos="4320"/>
        <w:tab w:val="right" w:pos="8640"/>
      </w:tabs>
    </w:pPr>
    <w:r w:rsidRPr="001E6C1A">
      <w:rPr>
        <w:noProof/>
      </w:rPr>
      <mc:AlternateContent>
        <mc:Choice Requires="wps">
          <w:drawing>
            <wp:anchor distT="0" distB="0" distL="114300" distR="114300" simplePos="0" relativeHeight="251659264" behindDoc="0" locked="0" layoutInCell="1" allowOverlap="1" wp14:anchorId="4E91518F" wp14:editId="37F2CB0B">
              <wp:simplePos x="0" y="0"/>
              <wp:positionH relativeFrom="column">
                <wp:posOffset>-289560</wp:posOffset>
              </wp:positionH>
              <wp:positionV relativeFrom="paragraph">
                <wp:posOffset>124460</wp:posOffset>
              </wp:positionV>
              <wp:extent cx="6842760" cy="0"/>
              <wp:effectExtent l="19050" t="1905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2760"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9.8pt" to="5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" strokecolor="#072741" strokeweight="2.25pt">
              <v:stroke endcap="round"/>
              <v:shadow color="black" opacity="17694f" origin="-.5,-.5" offset=".37417mm,.37417mm"/>
            </v:line>
          </w:pict>
        </mc:Fallback>
      </mc:AlternateContent>
    </w:r>
  </w:p>
  <w:p w:rsidR="00E71538" w:rsidRPr="001E6C1A" w:rsidRDefault="00E71538" w:rsidP="001E6C1A">
    <w:r>
      <w:rPr>
        <w:rFonts w:ascii="Franklin Gothic Demi Cond" w:hAnsi="Franklin Gothic Demi Cond"/>
        <w:sz w:val="20"/>
        <w:szCs w:val="20"/>
      </w:rPr>
      <w:t>EMPG Guidance – April 2017</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14478487"/>
        <w:docPartObj>
          <w:docPartGallery w:val="Page Numbers (Margins)"/>
          <w:docPartUnique/>
        </w:docPartObj>
      </w:sdtPr>
      <w:sdtEndPr/>
      <w:sdtContent>
        <w:sdt>
          <w:sdtPr>
            <w:rPr>
              <w:rFonts w:eastAsiaTheme="majorEastAsia" w:cstheme="majorBidi"/>
              <w:b/>
              <w:sz w:val="20"/>
              <w:szCs w:val="20"/>
            </w:rPr>
            <w:id w:val="107640144"/>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DD0E47" w:rsidRPr="00DD0E47">
              <w:rPr>
                <w:rFonts w:eastAsiaTheme="majorEastAsia" w:cstheme="majorBidi"/>
                <w:b/>
                <w:noProof/>
                <w:sz w:val="20"/>
                <w:szCs w:val="20"/>
              </w:rPr>
              <w:t>4</w:t>
            </w:r>
            <w:r w:rsidRPr="001E6C1A">
              <w:rPr>
                <w:rFonts w:eastAsiaTheme="majorEastAsia" w:cstheme="majorBidi"/>
                <w:b/>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38" w:rsidRDefault="00E71538" w:rsidP="002843CA">
      <w:r>
        <w:separator/>
      </w:r>
    </w:p>
  </w:footnote>
  <w:footnote w:type="continuationSeparator" w:id="0">
    <w:p w:rsidR="00E71538" w:rsidRDefault="00E71538" w:rsidP="0028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8" w:rsidRPr="00247DCC" w:rsidRDefault="00E71538"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26"/>
    <w:multiLevelType w:val="hybridMultilevel"/>
    <w:tmpl w:val="F4A0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2C5EBA"/>
    <w:multiLevelType w:val="hybridMultilevel"/>
    <w:tmpl w:val="14EA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C6271"/>
    <w:multiLevelType w:val="hybridMultilevel"/>
    <w:tmpl w:val="D1F2B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AD346A"/>
    <w:multiLevelType w:val="hybridMultilevel"/>
    <w:tmpl w:val="161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BE13A8"/>
    <w:multiLevelType w:val="hybridMultilevel"/>
    <w:tmpl w:val="B03213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800085"/>
    <w:multiLevelType w:val="hybridMultilevel"/>
    <w:tmpl w:val="40C4318E"/>
    <w:lvl w:ilvl="0" w:tplc="6982226A">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8734E"/>
    <w:multiLevelType w:val="hybridMultilevel"/>
    <w:tmpl w:val="2DBE5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930AAB"/>
    <w:multiLevelType w:val="hybridMultilevel"/>
    <w:tmpl w:val="208015F4"/>
    <w:lvl w:ilvl="0" w:tplc="590A62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24D69"/>
    <w:multiLevelType w:val="hybridMultilevel"/>
    <w:tmpl w:val="EBA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D4562"/>
    <w:multiLevelType w:val="hybridMultilevel"/>
    <w:tmpl w:val="7A52FDE8"/>
    <w:lvl w:ilvl="0" w:tplc="475C07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F9128D"/>
    <w:multiLevelType w:val="hybridMultilevel"/>
    <w:tmpl w:val="4B8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5A95923"/>
    <w:multiLevelType w:val="hybridMultilevel"/>
    <w:tmpl w:val="B7B2B3D0"/>
    <w:lvl w:ilvl="0" w:tplc="04090001">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24">
    <w:nsid w:val="661B5F7A"/>
    <w:multiLevelType w:val="hybridMultilevel"/>
    <w:tmpl w:val="A1E4244E"/>
    <w:lvl w:ilvl="0" w:tplc="3E6C46D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3E11C6"/>
    <w:multiLevelType w:val="hybridMultilevel"/>
    <w:tmpl w:val="DC3E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750C0"/>
    <w:multiLevelType w:val="hybridMultilevel"/>
    <w:tmpl w:val="1A3E1FC8"/>
    <w:lvl w:ilvl="0" w:tplc="7BC821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F92600"/>
    <w:multiLevelType w:val="hybridMultilevel"/>
    <w:tmpl w:val="961AC6A0"/>
    <w:lvl w:ilvl="0" w:tplc="8DBCD3E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902D54"/>
    <w:multiLevelType w:val="hybridMultilevel"/>
    <w:tmpl w:val="1706C576"/>
    <w:lvl w:ilvl="0" w:tplc="C90A1ACE">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B13490BE">
      <w:start w:val="1"/>
      <w:numFmt w:val="bullet"/>
      <w:lvlText w:val=""/>
      <w:lvlJc w:val="left"/>
      <w:pPr>
        <w:tabs>
          <w:tab w:val="num" w:pos="5760"/>
        </w:tabs>
        <w:ind w:left="5760" w:hanging="360"/>
      </w:pPr>
      <w:rPr>
        <w:rFonts w:ascii="Symbol" w:hAnsi="Symbol" w:hint="default"/>
        <w:sz w:val="22"/>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33">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8"/>
  </w:num>
  <w:num w:numId="4">
    <w:abstractNumId w:val="29"/>
  </w:num>
  <w:num w:numId="5">
    <w:abstractNumId w:val="7"/>
  </w:num>
  <w:num w:numId="6">
    <w:abstractNumId w:val="30"/>
  </w:num>
  <w:num w:numId="7">
    <w:abstractNumId w:val="5"/>
  </w:num>
  <w:num w:numId="8">
    <w:abstractNumId w:val="18"/>
  </w:num>
  <w:num w:numId="9">
    <w:abstractNumId w:val="24"/>
  </w:num>
  <w:num w:numId="10">
    <w:abstractNumId w:val="27"/>
  </w:num>
  <w:num w:numId="11">
    <w:abstractNumId w:val="21"/>
  </w:num>
  <w:num w:numId="12">
    <w:abstractNumId w:val="32"/>
  </w:num>
  <w:num w:numId="13">
    <w:abstractNumId w:val="23"/>
  </w:num>
  <w:num w:numId="14">
    <w:abstractNumId w:val="16"/>
  </w:num>
  <w:num w:numId="15">
    <w:abstractNumId w:val="8"/>
  </w:num>
  <w:num w:numId="16">
    <w:abstractNumId w:val="1"/>
  </w:num>
  <w:num w:numId="17">
    <w:abstractNumId w:val="22"/>
  </w:num>
  <w:num w:numId="18">
    <w:abstractNumId w:val="2"/>
  </w:num>
  <w:num w:numId="19">
    <w:abstractNumId w:val="26"/>
  </w:num>
  <w:num w:numId="20">
    <w:abstractNumId w:val="3"/>
  </w:num>
  <w:num w:numId="21">
    <w:abstractNumId w:val="17"/>
  </w:num>
  <w:num w:numId="22">
    <w:abstractNumId w:val="31"/>
  </w:num>
  <w:num w:numId="23">
    <w:abstractNumId w:val="14"/>
  </w:num>
  <w:num w:numId="24">
    <w:abstractNumId w:val="9"/>
  </w:num>
  <w:num w:numId="25">
    <w:abstractNumId w:val="4"/>
  </w:num>
  <w:num w:numId="26">
    <w:abstractNumId w:val="0"/>
  </w:num>
  <w:num w:numId="27">
    <w:abstractNumId w:val="15"/>
  </w:num>
  <w:num w:numId="28">
    <w:abstractNumId w:val="12"/>
  </w:num>
  <w:num w:numId="29">
    <w:abstractNumId w:val="10"/>
  </w:num>
  <w:num w:numId="30">
    <w:abstractNumId w:val="6"/>
  </w:num>
  <w:num w:numId="31">
    <w:abstractNumId w:val="11"/>
  </w:num>
  <w:num w:numId="32">
    <w:abstractNumId w:val="13"/>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C"/>
    <w:rsid w:val="00003442"/>
    <w:rsid w:val="000113A4"/>
    <w:rsid w:val="00015306"/>
    <w:rsid w:val="00022C82"/>
    <w:rsid w:val="00023B51"/>
    <w:rsid w:val="00041D50"/>
    <w:rsid w:val="00051DDD"/>
    <w:rsid w:val="00056AD0"/>
    <w:rsid w:val="00062504"/>
    <w:rsid w:val="00062FF9"/>
    <w:rsid w:val="000701DF"/>
    <w:rsid w:val="000943B6"/>
    <w:rsid w:val="000966B6"/>
    <w:rsid w:val="000A2BD5"/>
    <w:rsid w:val="000C3671"/>
    <w:rsid w:val="000D2AD2"/>
    <w:rsid w:val="000D4F72"/>
    <w:rsid w:val="000E1DF5"/>
    <w:rsid w:val="000E4246"/>
    <w:rsid w:val="000F4649"/>
    <w:rsid w:val="000F5C9F"/>
    <w:rsid w:val="001051E7"/>
    <w:rsid w:val="00105568"/>
    <w:rsid w:val="00111EE7"/>
    <w:rsid w:val="001148AB"/>
    <w:rsid w:val="00120857"/>
    <w:rsid w:val="0012332C"/>
    <w:rsid w:val="00142FF6"/>
    <w:rsid w:val="00143038"/>
    <w:rsid w:val="0015038A"/>
    <w:rsid w:val="001523E9"/>
    <w:rsid w:val="00152460"/>
    <w:rsid w:val="001527E5"/>
    <w:rsid w:val="0015338E"/>
    <w:rsid w:val="001572EC"/>
    <w:rsid w:val="001600B4"/>
    <w:rsid w:val="001642F1"/>
    <w:rsid w:val="001717D4"/>
    <w:rsid w:val="00173A1B"/>
    <w:rsid w:val="00174312"/>
    <w:rsid w:val="00176F1A"/>
    <w:rsid w:val="00187D33"/>
    <w:rsid w:val="00187D36"/>
    <w:rsid w:val="001C0FF8"/>
    <w:rsid w:val="001E5B3F"/>
    <w:rsid w:val="001E6C1A"/>
    <w:rsid w:val="001F2242"/>
    <w:rsid w:val="001F7CC1"/>
    <w:rsid w:val="00200841"/>
    <w:rsid w:val="0020149F"/>
    <w:rsid w:val="002378FD"/>
    <w:rsid w:val="002469DA"/>
    <w:rsid w:val="00247DCC"/>
    <w:rsid w:val="0025175F"/>
    <w:rsid w:val="0026059C"/>
    <w:rsid w:val="00264AFE"/>
    <w:rsid w:val="00273D54"/>
    <w:rsid w:val="00277C7B"/>
    <w:rsid w:val="002843CA"/>
    <w:rsid w:val="00287A16"/>
    <w:rsid w:val="002956CA"/>
    <w:rsid w:val="002B5668"/>
    <w:rsid w:val="002C1326"/>
    <w:rsid w:val="002C7877"/>
    <w:rsid w:val="002D0559"/>
    <w:rsid w:val="002D2C5F"/>
    <w:rsid w:val="002D3C6D"/>
    <w:rsid w:val="002D6F0B"/>
    <w:rsid w:val="00324F72"/>
    <w:rsid w:val="00332D20"/>
    <w:rsid w:val="00342D1B"/>
    <w:rsid w:val="00351D34"/>
    <w:rsid w:val="0036616A"/>
    <w:rsid w:val="00382CFF"/>
    <w:rsid w:val="003922D5"/>
    <w:rsid w:val="00394711"/>
    <w:rsid w:val="003A0E09"/>
    <w:rsid w:val="003A6F88"/>
    <w:rsid w:val="003B1D2E"/>
    <w:rsid w:val="003B20BC"/>
    <w:rsid w:val="003C6D26"/>
    <w:rsid w:val="003D01FB"/>
    <w:rsid w:val="003D1982"/>
    <w:rsid w:val="003D7286"/>
    <w:rsid w:val="003E0BBC"/>
    <w:rsid w:val="003F4E25"/>
    <w:rsid w:val="004068A2"/>
    <w:rsid w:val="00406B05"/>
    <w:rsid w:val="00411825"/>
    <w:rsid w:val="00413177"/>
    <w:rsid w:val="004375F5"/>
    <w:rsid w:val="004417A8"/>
    <w:rsid w:val="00447F53"/>
    <w:rsid w:val="00453F93"/>
    <w:rsid w:val="00457696"/>
    <w:rsid w:val="00462519"/>
    <w:rsid w:val="004636D2"/>
    <w:rsid w:val="00471EBB"/>
    <w:rsid w:val="004726AE"/>
    <w:rsid w:val="004741FD"/>
    <w:rsid w:val="00475D17"/>
    <w:rsid w:val="00477806"/>
    <w:rsid w:val="00497B8F"/>
    <w:rsid w:val="004A4562"/>
    <w:rsid w:val="004B3AD8"/>
    <w:rsid w:val="004B6F33"/>
    <w:rsid w:val="004C0871"/>
    <w:rsid w:val="004F5007"/>
    <w:rsid w:val="004F542E"/>
    <w:rsid w:val="004F6B8A"/>
    <w:rsid w:val="005067B1"/>
    <w:rsid w:val="005506E6"/>
    <w:rsid w:val="0056712C"/>
    <w:rsid w:val="00571763"/>
    <w:rsid w:val="005846D2"/>
    <w:rsid w:val="005916F4"/>
    <w:rsid w:val="00597357"/>
    <w:rsid w:val="0059771B"/>
    <w:rsid w:val="005A533F"/>
    <w:rsid w:val="005A74AB"/>
    <w:rsid w:val="005B1F37"/>
    <w:rsid w:val="005B37AC"/>
    <w:rsid w:val="005C44A4"/>
    <w:rsid w:val="005D2DDD"/>
    <w:rsid w:val="005D5740"/>
    <w:rsid w:val="005D6374"/>
    <w:rsid w:val="00605BE4"/>
    <w:rsid w:val="00612708"/>
    <w:rsid w:val="006212D8"/>
    <w:rsid w:val="00627BEC"/>
    <w:rsid w:val="006477FD"/>
    <w:rsid w:val="006479F8"/>
    <w:rsid w:val="00652BDE"/>
    <w:rsid w:val="00653890"/>
    <w:rsid w:val="00654CF3"/>
    <w:rsid w:val="00662D1B"/>
    <w:rsid w:val="00665266"/>
    <w:rsid w:val="006673CA"/>
    <w:rsid w:val="00674143"/>
    <w:rsid w:val="006841B8"/>
    <w:rsid w:val="00687AE8"/>
    <w:rsid w:val="006910D4"/>
    <w:rsid w:val="0069677B"/>
    <w:rsid w:val="00696B9F"/>
    <w:rsid w:val="006B748F"/>
    <w:rsid w:val="006D0F17"/>
    <w:rsid w:val="006D3F0B"/>
    <w:rsid w:val="0071545A"/>
    <w:rsid w:val="007371FF"/>
    <w:rsid w:val="00751CD1"/>
    <w:rsid w:val="007522FD"/>
    <w:rsid w:val="00753E3A"/>
    <w:rsid w:val="00765B71"/>
    <w:rsid w:val="007969C5"/>
    <w:rsid w:val="007C5D65"/>
    <w:rsid w:val="007C6175"/>
    <w:rsid w:val="007D7716"/>
    <w:rsid w:val="007E156A"/>
    <w:rsid w:val="007E6BA2"/>
    <w:rsid w:val="007E783E"/>
    <w:rsid w:val="007F6EF4"/>
    <w:rsid w:val="00802D37"/>
    <w:rsid w:val="00812479"/>
    <w:rsid w:val="0081281C"/>
    <w:rsid w:val="00815476"/>
    <w:rsid w:val="00821FF7"/>
    <w:rsid w:val="008249D7"/>
    <w:rsid w:val="00830903"/>
    <w:rsid w:val="00852706"/>
    <w:rsid w:val="00862A21"/>
    <w:rsid w:val="00862A57"/>
    <w:rsid w:val="00863873"/>
    <w:rsid w:val="0086389C"/>
    <w:rsid w:val="00884CAB"/>
    <w:rsid w:val="00893072"/>
    <w:rsid w:val="00894E51"/>
    <w:rsid w:val="00894E6E"/>
    <w:rsid w:val="00897D19"/>
    <w:rsid w:val="008A01F7"/>
    <w:rsid w:val="008A40CA"/>
    <w:rsid w:val="008A5CB4"/>
    <w:rsid w:val="008A6DEC"/>
    <w:rsid w:val="008D6AD9"/>
    <w:rsid w:val="008E3906"/>
    <w:rsid w:val="008E4DB3"/>
    <w:rsid w:val="008E7AF6"/>
    <w:rsid w:val="008F2005"/>
    <w:rsid w:val="00904859"/>
    <w:rsid w:val="009124D6"/>
    <w:rsid w:val="009160C4"/>
    <w:rsid w:val="00923411"/>
    <w:rsid w:val="009338E8"/>
    <w:rsid w:val="00941D74"/>
    <w:rsid w:val="00943609"/>
    <w:rsid w:val="00946C74"/>
    <w:rsid w:val="009522AD"/>
    <w:rsid w:val="00962EC2"/>
    <w:rsid w:val="00980B86"/>
    <w:rsid w:val="00981FF3"/>
    <w:rsid w:val="00986BB0"/>
    <w:rsid w:val="00987CEC"/>
    <w:rsid w:val="009903FE"/>
    <w:rsid w:val="00993665"/>
    <w:rsid w:val="009B22CD"/>
    <w:rsid w:val="009B4EDD"/>
    <w:rsid w:val="009C4109"/>
    <w:rsid w:val="009C61EE"/>
    <w:rsid w:val="009D0C50"/>
    <w:rsid w:val="009F00F2"/>
    <w:rsid w:val="009F4773"/>
    <w:rsid w:val="00A02029"/>
    <w:rsid w:val="00A24579"/>
    <w:rsid w:val="00A53CE0"/>
    <w:rsid w:val="00A544AC"/>
    <w:rsid w:val="00A5551B"/>
    <w:rsid w:val="00A81AA9"/>
    <w:rsid w:val="00A832E4"/>
    <w:rsid w:val="00A85114"/>
    <w:rsid w:val="00AA14AE"/>
    <w:rsid w:val="00AA6983"/>
    <w:rsid w:val="00AB002E"/>
    <w:rsid w:val="00AB2FE8"/>
    <w:rsid w:val="00AB7C3D"/>
    <w:rsid w:val="00AC122B"/>
    <w:rsid w:val="00AC4589"/>
    <w:rsid w:val="00AC72D7"/>
    <w:rsid w:val="00AD275C"/>
    <w:rsid w:val="00AE4DDB"/>
    <w:rsid w:val="00AE7AC8"/>
    <w:rsid w:val="00B0333E"/>
    <w:rsid w:val="00B048D5"/>
    <w:rsid w:val="00B14E7C"/>
    <w:rsid w:val="00B21768"/>
    <w:rsid w:val="00B22667"/>
    <w:rsid w:val="00B241A8"/>
    <w:rsid w:val="00B30DE7"/>
    <w:rsid w:val="00B3580C"/>
    <w:rsid w:val="00B46720"/>
    <w:rsid w:val="00B752E0"/>
    <w:rsid w:val="00B81F94"/>
    <w:rsid w:val="00B90BC2"/>
    <w:rsid w:val="00B90C72"/>
    <w:rsid w:val="00B94BE1"/>
    <w:rsid w:val="00B95716"/>
    <w:rsid w:val="00B9655C"/>
    <w:rsid w:val="00BA3DC9"/>
    <w:rsid w:val="00BB0C50"/>
    <w:rsid w:val="00BB1D9D"/>
    <w:rsid w:val="00BB745D"/>
    <w:rsid w:val="00BC6F1B"/>
    <w:rsid w:val="00BD3EE3"/>
    <w:rsid w:val="00BF0F9A"/>
    <w:rsid w:val="00C16C53"/>
    <w:rsid w:val="00C27060"/>
    <w:rsid w:val="00C51D3C"/>
    <w:rsid w:val="00C562B9"/>
    <w:rsid w:val="00C5698C"/>
    <w:rsid w:val="00C736E9"/>
    <w:rsid w:val="00C7489E"/>
    <w:rsid w:val="00C77572"/>
    <w:rsid w:val="00C8236A"/>
    <w:rsid w:val="00C835A4"/>
    <w:rsid w:val="00C83BC1"/>
    <w:rsid w:val="00C85F58"/>
    <w:rsid w:val="00C91FCE"/>
    <w:rsid w:val="00C945C8"/>
    <w:rsid w:val="00C9489C"/>
    <w:rsid w:val="00CA01E3"/>
    <w:rsid w:val="00CA647E"/>
    <w:rsid w:val="00CA6738"/>
    <w:rsid w:val="00CA7F62"/>
    <w:rsid w:val="00CF35BA"/>
    <w:rsid w:val="00CF387E"/>
    <w:rsid w:val="00D03592"/>
    <w:rsid w:val="00D0669A"/>
    <w:rsid w:val="00D0739D"/>
    <w:rsid w:val="00D234B0"/>
    <w:rsid w:val="00D25AD5"/>
    <w:rsid w:val="00D33078"/>
    <w:rsid w:val="00D4377E"/>
    <w:rsid w:val="00D47C1E"/>
    <w:rsid w:val="00D54574"/>
    <w:rsid w:val="00D568A8"/>
    <w:rsid w:val="00D578D2"/>
    <w:rsid w:val="00D61B66"/>
    <w:rsid w:val="00D809F3"/>
    <w:rsid w:val="00D904D2"/>
    <w:rsid w:val="00D90ED0"/>
    <w:rsid w:val="00D918B5"/>
    <w:rsid w:val="00DA11DB"/>
    <w:rsid w:val="00DA3FB8"/>
    <w:rsid w:val="00DA4C95"/>
    <w:rsid w:val="00DB1B53"/>
    <w:rsid w:val="00DD0E47"/>
    <w:rsid w:val="00DD6CF3"/>
    <w:rsid w:val="00DD7057"/>
    <w:rsid w:val="00DD7144"/>
    <w:rsid w:val="00E00C99"/>
    <w:rsid w:val="00E00F71"/>
    <w:rsid w:val="00E026B5"/>
    <w:rsid w:val="00E05B4A"/>
    <w:rsid w:val="00E15C84"/>
    <w:rsid w:val="00E1611B"/>
    <w:rsid w:val="00E2422E"/>
    <w:rsid w:val="00E27E2E"/>
    <w:rsid w:val="00E4569D"/>
    <w:rsid w:val="00E577F9"/>
    <w:rsid w:val="00E71269"/>
    <w:rsid w:val="00E71538"/>
    <w:rsid w:val="00E922F8"/>
    <w:rsid w:val="00EA2005"/>
    <w:rsid w:val="00EB6331"/>
    <w:rsid w:val="00EC683E"/>
    <w:rsid w:val="00EC76E1"/>
    <w:rsid w:val="00EE64E0"/>
    <w:rsid w:val="00EE710C"/>
    <w:rsid w:val="00EE7F13"/>
    <w:rsid w:val="00EF02B1"/>
    <w:rsid w:val="00EF5254"/>
    <w:rsid w:val="00F06C52"/>
    <w:rsid w:val="00F1710B"/>
    <w:rsid w:val="00F17605"/>
    <w:rsid w:val="00F21242"/>
    <w:rsid w:val="00F71CE1"/>
    <w:rsid w:val="00F7220E"/>
    <w:rsid w:val="00F75E27"/>
    <w:rsid w:val="00F7656F"/>
    <w:rsid w:val="00F76713"/>
    <w:rsid w:val="00F84A5A"/>
    <w:rsid w:val="00F907C1"/>
    <w:rsid w:val="00F922F7"/>
    <w:rsid w:val="00F94EFB"/>
    <w:rsid w:val="00F97FC1"/>
    <w:rsid w:val="00FD2E08"/>
    <w:rsid w:val="00FE1A11"/>
    <w:rsid w:val="00FE723D"/>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29"/>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152460"/>
    <w:pPr>
      <w:keepNext/>
      <w:keepLines/>
      <w:shd w:val="clear" w:color="auto" w:fill="005B5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52460"/>
    <w:pPr>
      <w:keepNext/>
      <w:keepLines/>
      <w:shd w:val="clear" w:color="auto" w:fill="736454"/>
      <w:spacing w:before="200"/>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unhideWhenUsed/>
    <w:qFormat/>
    <w:rsid w:val="00A0202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5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2460"/>
    <w:rPr>
      <w:rFonts w:eastAsiaTheme="majorEastAsia" w:cstheme="majorBidi"/>
      <w:b/>
      <w:bCs/>
      <w:color w:val="FFFFFF" w:themeColor="background1"/>
      <w:sz w:val="28"/>
      <w:szCs w:val="28"/>
      <w:shd w:val="clear" w:color="auto" w:fill="005B51"/>
    </w:rPr>
  </w:style>
  <w:style w:type="paragraph" w:styleId="TOC1">
    <w:name w:val="toc 1"/>
    <w:basedOn w:val="Normal"/>
    <w:next w:val="Normal"/>
    <w:autoRedefine/>
    <w:uiPriority w:val="39"/>
    <w:unhideWhenUsed/>
    <w:qFormat/>
    <w:rsid w:val="00C91FCE"/>
    <w:pPr>
      <w:tabs>
        <w:tab w:val="right" w:leader="dot" w:pos="9360"/>
      </w:tabs>
    </w:pPr>
    <w:rPr>
      <w:b/>
      <w:noProof/>
      <w:color w:val="005B51"/>
    </w:rPr>
  </w:style>
  <w:style w:type="paragraph" w:styleId="TOCHeading">
    <w:name w:val="TOC Heading"/>
    <w:basedOn w:val="Heading1"/>
    <w:next w:val="Normal"/>
    <w:uiPriority w:val="39"/>
    <w:unhideWhenUsed/>
    <w:qFormat/>
    <w:rsid w:val="00962EC2"/>
    <w:pPr>
      <w:spacing w:line="276" w:lineRule="auto"/>
      <w:outlineLvl w:val="9"/>
    </w:pPr>
    <w:rPr>
      <w:lang w:eastAsia="ja-JP"/>
    </w:rPr>
  </w:style>
  <w:style w:type="paragraph" w:styleId="TOC2">
    <w:name w:val="toc 2"/>
    <w:basedOn w:val="Normal"/>
    <w:next w:val="Normal"/>
    <w:autoRedefine/>
    <w:uiPriority w:val="39"/>
    <w:unhideWhenUsed/>
    <w:qFormat/>
    <w:rsid w:val="004F5007"/>
    <w:pPr>
      <w:tabs>
        <w:tab w:val="right" w:leader="dot" w:pos="9350"/>
      </w:tabs>
      <w:spacing w:line="276" w:lineRule="auto"/>
      <w:ind w:left="220"/>
    </w:pPr>
    <w:rPr>
      <w:rFonts w:eastAsiaTheme="minorEastAsia" w:cstheme="minorBidi"/>
      <w:noProof/>
      <w:szCs w:val="22"/>
      <w:lang w:eastAsia="ja-JP"/>
    </w:rPr>
  </w:style>
  <w:style w:type="paragraph" w:styleId="TOC3">
    <w:name w:val="toc 3"/>
    <w:basedOn w:val="Normal"/>
    <w:next w:val="Normal"/>
    <w:autoRedefine/>
    <w:uiPriority w:val="39"/>
    <w:unhideWhenUsed/>
    <w:qFormat/>
    <w:rsid w:val="004F5007"/>
    <w:pPr>
      <w:spacing w:line="276" w:lineRule="auto"/>
      <w:ind w:left="446"/>
    </w:pPr>
    <w:rPr>
      <w:rFonts w:eastAsiaTheme="minorEastAsia" w:cstheme="minorBidi"/>
      <w:sz w:val="22"/>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customStyle="1" w:styleId="Heading2Char">
    <w:name w:val="Heading 2 Char"/>
    <w:basedOn w:val="DefaultParagraphFont"/>
    <w:link w:val="Heading2"/>
    <w:uiPriority w:val="9"/>
    <w:rsid w:val="00152460"/>
    <w:rPr>
      <w:rFonts w:eastAsiaTheme="majorEastAsia" w:cstheme="majorBidi"/>
      <w:b/>
      <w:bCs/>
      <w:color w:val="FFFFFF" w:themeColor="background1"/>
      <w:sz w:val="24"/>
      <w:szCs w:val="26"/>
      <w:shd w:val="clear" w:color="auto" w:fill="736454"/>
    </w:rPr>
  </w:style>
  <w:style w:type="character" w:customStyle="1" w:styleId="Heading3Char">
    <w:name w:val="Heading 3 Char"/>
    <w:basedOn w:val="DefaultParagraphFont"/>
    <w:link w:val="Heading3"/>
    <w:uiPriority w:val="9"/>
    <w:rsid w:val="00A02029"/>
    <w:rPr>
      <w:rFonts w:eastAsiaTheme="majorEastAsia" w:cstheme="majorBidi"/>
      <w:b/>
      <w:bCs/>
      <w:sz w:val="24"/>
      <w:szCs w:val="24"/>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29"/>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152460"/>
    <w:pPr>
      <w:keepNext/>
      <w:keepLines/>
      <w:shd w:val="clear" w:color="auto" w:fill="005B5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52460"/>
    <w:pPr>
      <w:keepNext/>
      <w:keepLines/>
      <w:shd w:val="clear" w:color="auto" w:fill="736454"/>
      <w:spacing w:before="200"/>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unhideWhenUsed/>
    <w:qFormat/>
    <w:rsid w:val="00A0202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5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2460"/>
    <w:rPr>
      <w:rFonts w:eastAsiaTheme="majorEastAsia" w:cstheme="majorBidi"/>
      <w:b/>
      <w:bCs/>
      <w:color w:val="FFFFFF" w:themeColor="background1"/>
      <w:sz w:val="28"/>
      <w:szCs w:val="28"/>
      <w:shd w:val="clear" w:color="auto" w:fill="005B51"/>
    </w:rPr>
  </w:style>
  <w:style w:type="paragraph" w:styleId="TOC1">
    <w:name w:val="toc 1"/>
    <w:basedOn w:val="Normal"/>
    <w:next w:val="Normal"/>
    <w:autoRedefine/>
    <w:uiPriority w:val="39"/>
    <w:unhideWhenUsed/>
    <w:qFormat/>
    <w:rsid w:val="00C91FCE"/>
    <w:pPr>
      <w:tabs>
        <w:tab w:val="right" w:leader="dot" w:pos="9360"/>
      </w:tabs>
    </w:pPr>
    <w:rPr>
      <w:b/>
      <w:noProof/>
      <w:color w:val="005B51"/>
    </w:rPr>
  </w:style>
  <w:style w:type="paragraph" w:styleId="TOCHeading">
    <w:name w:val="TOC Heading"/>
    <w:basedOn w:val="Heading1"/>
    <w:next w:val="Normal"/>
    <w:uiPriority w:val="39"/>
    <w:unhideWhenUsed/>
    <w:qFormat/>
    <w:rsid w:val="00962EC2"/>
    <w:pPr>
      <w:spacing w:line="276" w:lineRule="auto"/>
      <w:outlineLvl w:val="9"/>
    </w:pPr>
    <w:rPr>
      <w:lang w:eastAsia="ja-JP"/>
    </w:rPr>
  </w:style>
  <w:style w:type="paragraph" w:styleId="TOC2">
    <w:name w:val="toc 2"/>
    <w:basedOn w:val="Normal"/>
    <w:next w:val="Normal"/>
    <w:autoRedefine/>
    <w:uiPriority w:val="39"/>
    <w:unhideWhenUsed/>
    <w:qFormat/>
    <w:rsid w:val="004F5007"/>
    <w:pPr>
      <w:tabs>
        <w:tab w:val="right" w:leader="dot" w:pos="9350"/>
      </w:tabs>
      <w:spacing w:line="276" w:lineRule="auto"/>
      <w:ind w:left="220"/>
    </w:pPr>
    <w:rPr>
      <w:rFonts w:eastAsiaTheme="minorEastAsia" w:cstheme="minorBidi"/>
      <w:noProof/>
      <w:szCs w:val="22"/>
      <w:lang w:eastAsia="ja-JP"/>
    </w:rPr>
  </w:style>
  <w:style w:type="paragraph" w:styleId="TOC3">
    <w:name w:val="toc 3"/>
    <w:basedOn w:val="Normal"/>
    <w:next w:val="Normal"/>
    <w:autoRedefine/>
    <w:uiPriority w:val="39"/>
    <w:unhideWhenUsed/>
    <w:qFormat/>
    <w:rsid w:val="004F5007"/>
    <w:pPr>
      <w:spacing w:line="276" w:lineRule="auto"/>
      <w:ind w:left="446"/>
    </w:pPr>
    <w:rPr>
      <w:rFonts w:eastAsiaTheme="minorEastAsia" w:cstheme="minorBidi"/>
      <w:sz w:val="22"/>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customStyle="1" w:styleId="Heading2Char">
    <w:name w:val="Heading 2 Char"/>
    <w:basedOn w:val="DefaultParagraphFont"/>
    <w:link w:val="Heading2"/>
    <w:uiPriority w:val="9"/>
    <w:rsid w:val="00152460"/>
    <w:rPr>
      <w:rFonts w:eastAsiaTheme="majorEastAsia" w:cstheme="majorBidi"/>
      <w:b/>
      <w:bCs/>
      <w:color w:val="FFFFFF" w:themeColor="background1"/>
      <w:sz w:val="24"/>
      <w:szCs w:val="26"/>
      <w:shd w:val="clear" w:color="auto" w:fill="736454"/>
    </w:rPr>
  </w:style>
  <w:style w:type="character" w:customStyle="1" w:styleId="Heading3Char">
    <w:name w:val="Heading 3 Char"/>
    <w:basedOn w:val="DefaultParagraphFont"/>
    <w:link w:val="Heading3"/>
    <w:uiPriority w:val="9"/>
    <w:rsid w:val="00A02029"/>
    <w:rPr>
      <w:rFonts w:eastAsiaTheme="majorEastAsia" w:cstheme="majorBidi"/>
      <w:b/>
      <w:bCs/>
      <w:sz w:val="24"/>
      <w:szCs w:val="24"/>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nhempgprogram@dos.nh.gov" TargetMode="External"/><Relationship Id="rId26" Type="http://schemas.openxmlformats.org/officeDocument/2006/relationships/hyperlink" Target="http://www.dol.gov/whd/govcontracts/dbra.htm" TargetMode="External"/><Relationship Id="rId39" Type="http://schemas.openxmlformats.org/officeDocument/2006/relationships/hyperlink" Target="http://www.sam.gov/" TargetMode="External"/><Relationship Id="rId21" Type="http://schemas.openxmlformats.org/officeDocument/2006/relationships/hyperlink" Target="http://www.ecfr.gov/cgi-bin/text-idx?SID=befbdcd39abb3b28276c9dd3651a92b5&amp;mc=true&amp;node=se2.1.200_1307&amp;rgn=div8" TargetMode="External"/><Relationship Id="rId34" Type="http://schemas.openxmlformats.org/officeDocument/2006/relationships/hyperlink" Target="https://www.gpo.gov/fdsys/pkg/CFR-2014-title2-vol1/xml/CFR-2014-title2-vol1-sec200-326.xml" TargetMode="External"/><Relationship Id="rId42" Type="http://schemas.openxmlformats.org/officeDocument/2006/relationships/hyperlink" Target="https://apps.nh.gov/blogs/hsem/?page_id=1116" TargetMode="External"/><Relationship Id="rId47" Type="http://schemas.openxmlformats.org/officeDocument/2006/relationships/footer" Target="footer2.xml"/><Relationship Id="rId50" Type="http://schemas.openxmlformats.org/officeDocument/2006/relationships/hyperlink" Target="https://apps.nh.gov/blogs/hsem/wp-content/uploads/2015/10/COPSYNC-Application-QuickReference-Guide-Rev-092715.pdf" TargetMode="External"/><Relationship Id="rId55" Type="http://schemas.openxmlformats.org/officeDocument/2006/relationships/hyperlink" Target="https://apps.nh.gov/blogs/hsem/?page_id=419"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nhfs@dos.nh.gov" TargetMode="External"/><Relationship Id="rId25" Type="http://schemas.openxmlformats.org/officeDocument/2006/relationships/hyperlink" Target="https://www.fema.gov/media-library-data/1419366341862-296dd0cc30bbf64a6b45581afe9d8b17/InformationBulletin400_2CFRPart200_FINAL.pdf" TargetMode="External"/><Relationship Id="rId33" Type="http://schemas.openxmlformats.org/officeDocument/2006/relationships/hyperlink" Target="https://apps.nh.gov/blogs/hsem/?page_id=638" TargetMode="External"/><Relationship Id="rId38" Type="http://schemas.openxmlformats.org/officeDocument/2006/relationships/hyperlink" Target="https://apps.nh.gov/blogs/hsem/?page_id=419" TargetMode="External"/><Relationship Id="rId46" Type="http://schemas.openxmlformats.org/officeDocument/2006/relationships/hyperlink" Target="https://www.fema.gov/media-library-data/1386609058826-b084a7230663249ab1d6da4b6472e691/Continuity-Guidance-Circular2.pdf" TargetMode="External"/><Relationship Id="rId2" Type="http://schemas.openxmlformats.org/officeDocument/2006/relationships/customXml" Target="../customXml/item2.xml"/><Relationship Id="rId16" Type="http://schemas.openxmlformats.org/officeDocument/2006/relationships/hyperlink" Target="https://apps.nh.gov/blogs/hsem/?page_id=225" TargetMode="External"/><Relationship Id="rId20" Type="http://schemas.openxmlformats.org/officeDocument/2006/relationships/hyperlink" Target="http://www.ecfr.gov/cgi-bin/text-idx?SID=befbdcd39abb3b28276c9dd3651a92b5&amp;mc=true&amp;node=se2.1.200_1204&amp;rgn=div8" TargetMode="External"/><Relationship Id="rId29" Type="http://schemas.openxmlformats.org/officeDocument/2006/relationships/hyperlink" Target="https://www.fema.gov/media-library/assets/documents/85376" TargetMode="External"/><Relationship Id="rId41" Type="http://schemas.openxmlformats.org/officeDocument/2006/relationships/hyperlink" Target="http://www.ecfr.gov/cgi-bin/text-idx?SID=16450cb5a2015ab34df39a33426eba19&amp;mc=true&amp;node=se2.1.200_1313&amp;rgn=div8" TargetMode="External"/><Relationship Id="rId54" Type="http://schemas.openxmlformats.org/officeDocument/2006/relationships/hyperlink" Target="https://apps.nh.gov/blogs/hsem/?page_id=4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ecfr.gov/cgi-bin/text-idx?SID=befbdcd39abb3b28276c9dd3651a92b5&amp;mc=true&amp;node=se2.1.200_1313&amp;rgn=div8" TargetMode="External"/><Relationship Id="rId32" Type="http://schemas.openxmlformats.org/officeDocument/2006/relationships/hyperlink" Target="https://www.sam.gov/sam/transcript/Public_-_Identifying_Excluded_Entities.pdf" TargetMode="External"/><Relationship Id="rId37" Type="http://schemas.openxmlformats.org/officeDocument/2006/relationships/hyperlink" Target="https://www.fema.gov/media-library-data/20130726-1837-25045-1238/ib_386.pdf" TargetMode="External"/><Relationship Id="rId40" Type="http://schemas.openxmlformats.org/officeDocument/2006/relationships/hyperlink" Target="https://www.gpo.gov/fdsys/pkg/CFR-2014-title2-vol1/xml/CFR-2014-title2-vol1-sec200-313.xml" TargetMode="External"/><Relationship Id="rId45" Type="http://schemas.openxmlformats.org/officeDocument/2006/relationships/hyperlink" Target="https://www.fema.gov/media-library-data/1386609058803-b084a7230663249ab1d6da4b6472e691/CGC-1-Signed-July-2013.pdf" TargetMode="External"/><Relationship Id="rId53" Type="http://schemas.openxmlformats.org/officeDocument/2006/relationships/hyperlink" Target="https://apps.nh.gov/blogs/hsem/?page_id=419" TargetMode="External"/><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apps.nh.gov/blogs/hsem/?page_id=671" TargetMode="External"/><Relationship Id="rId23" Type="http://schemas.openxmlformats.org/officeDocument/2006/relationships/hyperlink" Target="http://www.ecfr.gov/cgi-bin/text-idx?SID=befbdcd39abb3b28276c9dd3651a92b5&amp;mc=true&amp;node=se2.1.200_1309&amp;rgn=div8" TargetMode="External"/><Relationship Id="rId28" Type="http://schemas.openxmlformats.org/officeDocument/2006/relationships/hyperlink" Target="http://fedgov.dnb.com/webform/displayHomePage.do" TargetMode="External"/><Relationship Id="rId36" Type="http://schemas.openxmlformats.org/officeDocument/2006/relationships/hyperlink" Target="http://www.safecomprogram.gov/grant/Default.aspx" TargetMode="External"/><Relationship Id="rId49" Type="http://schemas.openxmlformats.org/officeDocument/2006/relationships/hyperlink" Target="https://apps.nh.gov/blogs/hsem/?page_id=347"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cfr.gov/cgi-bin/text-idx?SID=befbdcd39abb3b28276c9dd3651a92b5&amp;mc=true&amp;node=se2.1.200_1112&amp;rgn=div8" TargetMode="External"/><Relationship Id="rId31" Type="http://schemas.openxmlformats.org/officeDocument/2006/relationships/hyperlink" Target="http://www.SAM.gov" TargetMode="External"/><Relationship Id="rId44" Type="http://schemas.openxmlformats.org/officeDocument/2006/relationships/hyperlink" Target="https://apps.nh.gov/blogs/hsem/?page_id=2783" TargetMode="External"/><Relationship Id="rId52" Type="http://schemas.openxmlformats.org/officeDocument/2006/relationships/hyperlink" Target="https://apps.nh.gov/blogs/hsem/?page_id=266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hempgprogram@dos.nh.gov" TargetMode="External"/><Relationship Id="rId22" Type="http://schemas.openxmlformats.org/officeDocument/2006/relationships/hyperlink" Target="http://www.ecfr.gov/cgi-bin/text-idx?SID=befbdcd39abb3b28276c9dd3651a92b5&amp;mc=true&amp;node=se2.1.200_1308&amp;rgn=div8" TargetMode="External"/><Relationship Id="rId27" Type="http://schemas.openxmlformats.org/officeDocument/2006/relationships/hyperlink" Target="http://www.sam.gov" TargetMode="External"/><Relationship Id="rId30" Type="http://schemas.openxmlformats.org/officeDocument/2006/relationships/hyperlink" Target="https://apps.nh.gov/blogs/hsem/?page_id=419" TargetMode="External"/><Relationship Id="rId35" Type="http://schemas.openxmlformats.org/officeDocument/2006/relationships/hyperlink" Target="https://www.gpo.gov/fdsys/pkg/CFR-2014-title2-vol1/xml/CFR-2014-title2-vol1-part200-appII.xml" TargetMode="External"/><Relationship Id="rId43" Type="http://schemas.openxmlformats.org/officeDocument/2006/relationships/hyperlink" Target="http://www.fema.gov/pdf/about/divisions/npd/CPG_101_V2.pdf" TargetMode="External"/><Relationship Id="rId48" Type="http://schemas.openxmlformats.org/officeDocument/2006/relationships/hyperlink" Target="https://www.fema.gov/authorized-equipment-list" TargetMode="External"/><Relationship Id="rId56" Type="http://schemas.openxmlformats.org/officeDocument/2006/relationships/hyperlink" Target="https://apps.nh.gov/blogs/hsem/?page_id=419" TargetMode="External"/><Relationship Id="rId8" Type="http://schemas.openxmlformats.org/officeDocument/2006/relationships/footnotes" Target="footnotes.xml"/><Relationship Id="rId51" Type="http://schemas.openxmlformats.org/officeDocument/2006/relationships/hyperlink" Target="https://apps.nh.gov/blogs/hsem/?page_id=419" TargetMode="Externa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FF792A-5D70-4507-83A8-5E87CE2A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8886</Words>
  <Characters>50652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Fallon</dc:creator>
  <cp:lastModifiedBy>Elizabeth Lufkin</cp:lastModifiedBy>
  <cp:revision>2</cp:revision>
  <cp:lastPrinted>2017-04-17T14:51:00Z</cp:lastPrinted>
  <dcterms:created xsi:type="dcterms:W3CDTF">2018-02-06T14:28:00Z</dcterms:created>
  <dcterms:modified xsi:type="dcterms:W3CDTF">2018-02-06T14:28:00Z</dcterms:modified>
</cp:coreProperties>
</file>